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5EE0D" w14:textId="39018348" w:rsidR="00716BE6" w:rsidRPr="00E6691B" w:rsidRDefault="005A1987" w:rsidP="00E6691B">
      <w:pPr>
        <w:pStyle w:val="Titolo1"/>
      </w:pPr>
      <w:bookmarkStart w:id="0" w:name="ewaster_solution_sheet_weee_behav_aa4ffc"/>
      <w:proofErr w:type="spellStart"/>
      <w:r w:rsidRPr="00E6691B">
        <w:rPr>
          <w:rFonts w:eastAsia="Georgia"/>
        </w:rPr>
        <w:t>eWAsTER</w:t>
      </w:r>
      <w:proofErr w:type="spellEnd"/>
      <w:r w:rsidRPr="00E6691B">
        <w:rPr>
          <w:rFonts w:eastAsia="Georgia"/>
        </w:rPr>
        <w:t xml:space="preserve"> Solution Sheet – WEEE BEHAVE </w:t>
      </w:r>
      <w:bookmarkEnd w:id="0"/>
    </w:p>
    <w:p w14:paraId="2A35EE0E" w14:textId="77777777" w:rsidR="00716BE6" w:rsidRPr="00E6691B" w:rsidRDefault="005A1987">
      <w:pPr>
        <w:spacing w:before="315" w:after="105" w:line="360" w:lineRule="auto"/>
        <w:ind w:left="-30"/>
        <w:rPr>
          <w:rFonts w:asciiTheme="minorHAnsi"/>
        </w:rPr>
      </w:pPr>
      <w:bookmarkStart w:id="1" w:name="bm_1_document_information"/>
      <w:r w:rsidRPr="00E6691B">
        <w:rPr>
          <w:rFonts w:asciiTheme="minorHAnsi" w:eastAsia="Georgia" w:cs="Georgia"/>
          <w:b/>
          <w:color w:val="000000"/>
          <w:sz w:val="24"/>
        </w:rPr>
        <w:t>1. Document information</w:t>
      </w:r>
      <w:bookmarkEnd w:id="1"/>
    </w:p>
    <w:p w14:paraId="2A35EE0F" w14:textId="0ADA46BE" w:rsidR="00716BE6" w:rsidRPr="00E6691B" w:rsidRDefault="005A1987">
      <w:pPr>
        <w:spacing w:after="210" w:line="360" w:lineRule="auto"/>
        <w:rPr>
          <w:rFonts w:asciiTheme="minorHAnsi"/>
        </w:rPr>
      </w:pPr>
      <w:r w:rsidRPr="00E6691B">
        <w:rPr>
          <w:rFonts w:asciiTheme="minorHAnsi" w:eastAsia="Georgia" w:cs="Georgia"/>
          <w:b/>
          <w:color w:val="000000"/>
        </w:rPr>
        <w:t>Solution Name:</w:t>
      </w:r>
      <w:r w:rsidRPr="00E6691B">
        <w:rPr>
          <w:rFonts w:asciiTheme="minorHAnsi" w:eastAsia="Georgia" w:cs="Georgia"/>
          <w:color w:val="000000"/>
        </w:rPr>
        <w:t xml:space="preserve"> WEEE BEHAVE</w:t>
      </w:r>
      <w:r w:rsidRPr="00E6691B">
        <w:rPr>
          <w:rFonts w:asciiTheme="minorHAnsi" w:eastAsia="Georgia" w:cs="Georgia"/>
          <w:color w:val="000000"/>
        </w:rPr>
        <w:br/>
      </w:r>
      <w:r w:rsidRPr="00E6691B">
        <w:rPr>
          <w:rFonts w:asciiTheme="minorHAnsi" w:eastAsia="Georgia" w:cs="Georgia"/>
          <w:b/>
          <w:color w:val="000000"/>
        </w:rPr>
        <w:t>Solution Leader / Primary Coordinator:</w:t>
      </w:r>
      <w:r w:rsidRPr="00E6691B">
        <w:rPr>
          <w:rFonts w:asciiTheme="minorHAnsi" w:eastAsia="Georgia" w:cs="Georgia"/>
          <w:color w:val="000000"/>
        </w:rPr>
        <w:t xml:space="preserve"> Dr. Panayiotis Michael, </w:t>
      </w:r>
      <w:proofErr w:type="spellStart"/>
      <w:r w:rsidRPr="00E6691B">
        <w:rPr>
          <w:rFonts w:asciiTheme="minorHAnsi" w:eastAsia="Georgia" w:cs="Georgia"/>
          <w:color w:val="000000"/>
        </w:rPr>
        <w:t>Aradippou</w:t>
      </w:r>
      <w:proofErr w:type="spellEnd"/>
      <w:r w:rsidRPr="00E6691B">
        <w:rPr>
          <w:rFonts w:asciiTheme="minorHAnsi" w:eastAsia="Georgia" w:cs="Georgia"/>
          <w:color w:val="000000"/>
        </w:rPr>
        <w:t xml:space="preserve"> Larnaca, Cyprus (P11) </w:t>
      </w:r>
      <w:r w:rsidRPr="00E6691B">
        <w:rPr>
          <w:rFonts w:asciiTheme="minorHAnsi" w:eastAsia="Georgia" w:cs="Georgia"/>
          <w:color w:val="000000"/>
        </w:rPr>
        <w:br/>
      </w:r>
      <w:r w:rsidRPr="00E6691B">
        <w:rPr>
          <w:rFonts w:asciiTheme="minorHAnsi" w:eastAsia="Georgia" w:cs="Georgia"/>
          <w:b/>
          <w:color w:val="000000"/>
        </w:rPr>
        <w:t>Number of Participating Territories:</w:t>
      </w:r>
      <w:r w:rsidRPr="00E6691B">
        <w:rPr>
          <w:rFonts w:asciiTheme="minorHAnsi" w:eastAsia="Georgia" w:cs="Georgia"/>
          <w:color w:val="000000"/>
        </w:rPr>
        <w:t xml:space="preserve"> 5 territories </w:t>
      </w:r>
      <w:r w:rsidRPr="00E6691B">
        <w:rPr>
          <w:rFonts w:asciiTheme="minorHAnsi" w:eastAsia="Georgia" w:cs="Georgia"/>
          <w:color w:val="000000"/>
        </w:rPr>
        <w:br/>
      </w:r>
      <w:r w:rsidRPr="00E6691B">
        <w:rPr>
          <w:rFonts w:asciiTheme="minorHAnsi" w:eastAsia="Georgia" w:cs="Georgia"/>
          <w:b/>
          <w:color w:val="000000"/>
        </w:rPr>
        <w:t>Participating Partners:</w:t>
      </w:r>
      <w:r w:rsidRPr="00E6691B">
        <w:rPr>
          <w:rFonts w:asciiTheme="minorHAnsi" w:eastAsia="Georgia" w:cs="Georgia"/>
          <w:color w:val="000000"/>
        </w:rPr>
        <w:t xml:space="preserve"> </w:t>
      </w:r>
      <w:proofErr w:type="spellStart"/>
      <w:r w:rsidRPr="00E6691B">
        <w:rPr>
          <w:rFonts w:asciiTheme="minorHAnsi" w:eastAsia="Georgia" w:cs="Georgia"/>
          <w:color w:val="000000"/>
        </w:rPr>
        <w:t>Rethymno</w:t>
      </w:r>
      <w:proofErr w:type="spellEnd"/>
      <w:r w:rsidRPr="00E6691B">
        <w:rPr>
          <w:rFonts w:asciiTheme="minorHAnsi" w:eastAsia="Georgia" w:cs="Georgia"/>
          <w:color w:val="000000"/>
        </w:rPr>
        <w:t xml:space="preserve">, Greece (P3); Varna region, Bulgaria (P7); Pian del </w:t>
      </w:r>
      <w:proofErr w:type="spellStart"/>
      <w:r w:rsidRPr="00E6691B">
        <w:rPr>
          <w:rFonts w:asciiTheme="minorHAnsi" w:eastAsia="Georgia" w:cs="Georgia"/>
          <w:color w:val="000000"/>
        </w:rPr>
        <w:t>Bruscolo</w:t>
      </w:r>
      <w:proofErr w:type="spellEnd"/>
      <w:r w:rsidRPr="00E6691B">
        <w:rPr>
          <w:rFonts w:asciiTheme="minorHAnsi" w:eastAsia="Georgia" w:cs="Georgia"/>
          <w:color w:val="000000"/>
        </w:rPr>
        <w:t xml:space="preserve"> area, Italy (P8); RSU Málaga, Spain (P9); </w:t>
      </w:r>
      <w:proofErr w:type="spellStart"/>
      <w:r w:rsidRPr="00E6691B">
        <w:rPr>
          <w:rFonts w:asciiTheme="minorHAnsi" w:eastAsia="Georgia" w:cs="Georgia"/>
          <w:color w:val="000000"/>
        </w:rPr>
        <w:t>Aradippou</w:t>
      </w:r>
      <w:proofErr w:type="spellEnd"/>
      <w:r w:rsidRPr="00E6691B">
        <w:rPr>
          <w:rFonts w:asciiTheme="minorHAnsi" w:eastAsia="Georgia" w:cs="Georgia"/>
          <w:color w:val="000000"/>
        </w:rPr>
        <w:t xml:space="preserve">, Cyprus (P11) </w:t>
      </w:r>
      <w:r w:rsidRPr="00E6691B">
        <w:rPr>
          <w:rFonts w:asciiTheme="minorHAnsi" w:eastAsia="Georgia" w:cs="Georgia"/>
          <w:color w:val="000000"/>
        </w:rPr>
        <w:br/>
      </w:r>
      <w:r w:rsidRPr="00E6691B">
        <w:rPr>
          <w:rFonts w:asciiTheme="minorHAnsi" w:eastAsia="Georgia" w:cs="Georgia"/>
          <w:b/>
          <w:color w:val="000000"/>
        </w:rPr>
        <w:t>Sheet Status:</w:t>
      </w:r>
      <w:r w:rsidRPr="00E6691B">
        <w:rPr>
          <w:rFonts w:asciiTheme="minorHAnsi" w:eastAsia="Georgia" w:cs="Georgia"/>
          <w:color w:val="000000"/>
        </w:rPr>
        <w:t xml:space="preserve"> consolidated working version for UCPB integration into D.3.4.1; final completion pending </w:t>
      </w:r>
      <w:proofErr w:type="spellStart"/>
      <w:r w:rsidRPr="00E6691B">
        <w:rPr>
          <w:rFonts w:asciiTheme="minorHAnsi" w:eastAsia="Georgia" w:cs="Georgia"/>
          <w:color w:val="000000"/>
        </w:rPr>
        <w:t>Aradippou</w:t>
      </w:r>
      <w:proofErr w:type="spellEnd"/>
      <w:r w:rsidRPr="00E6691B">
        <w:rPr>
          <w:rFonts w:asciiTheme="minorHAnsi" w:eastAsia="Georgia" w:cs="Georgia"/>
          <w:color w:val="000000"/>
        </w:rPr>
        <w:t xml:space="preserve"> KPI values [file:5]</w:t>
      </w:r>
    </w:p>
    <w:p w14:paraId="2A35EE10" w14:textId="77777777" w:rsidR="00716BE6" w:rsidRPr="00E6691B" w:rsidRDefault="005A1987">
      <w:pPr>
        <w:spacing w:before="315" w:after="105" w:line="360" w:lineRule="auto"/>
        <w:ind w:left="-30"/>
        <w:rPr>
          <w:rFonts w:asciiTheme="minorHAnsi"/>
        </w:rPr>
      </w:pPr>
      <w:bookmarkStart w:id="2" w:name="bm_2_executive_summary"/>
      <w:r w:rsidRPr="00E6691B">
        <w:rPr>
          <w:rFonts w:asciiTheme="minorHAnsi" w:eastAsia="Georgia" w:cs="Georgia"/>
          <w:b/>
          <w:color w:val="000000"/>
          <w:sz w:val="24"/>
        </w:rPr>
        <w:t>2. Executive summary</w:t>
      </w:r>
      <w:bookmarkEnd w:id="2"/>
    </w:p>
    <w:p w14:paraId="2A35EE11" w14:textId="77777777" w:rsidR="00716BE6" w:rsidRPr="00E6691B" w:rsidRDefault="005A1987">
      <w:pPr>
        <w:spacing w:before="315" w:after="105" w:line="360" w:lineRule="auto"/>
        <w:ind w:left="-30"/>
        <w:rPr>
          <w:rFonts w:asciiTheme="minorHAnsi"/>
        </w:rPr>
      </w:pPr>
      <w:bookmarkStart w:id="3" w:name="bm_2_1_problem_addressed"/>
      <w:r w:rsidRPr="00E6691B">
        <w:rPr>
          <w:rFonts w:asciiTheme="minorHAnsi" w:eastAsia="Georgia" w:cs="Georgia"/>
          <w:b/>
          <w:color w:val="000000"/>
          <w:sz w:val="24"/>
        </w:rPr>
        <w:t>2.1 Problem addressed</w:t>
      </w:r>
      <w:bookmarkEnd w:id="3"/>
    </w:p>
    <w:p w14:paraId="2A35EE12" w14:textId="72D89088" w:rsidR="00716BE6" w:rsidRPr="00E6691B" w:rsidRDefault="005A1987">
      <w:pPr>
        <w:spacing w:after="210" w:line="360" w:lineRule="auto"/>
        <w:rPr>
          <w:rFonts w:asciiTheme="minorHAnsi"/>
        </w:rPr>
      </w:pPr>
      <w:r w:rsidRPr="00E6691B">
        <w:rPr>
          <w:rFonts w:asciiTheme="minorHAnsi" w:eastAsia="Georgia" w:cs="Georgia"/>
          <w:color w:val="000000"/>
        </w:rPr>
        <w:t xml:space="preserve">WEEE BEHAVE addresses low collection rates in municipal areas by engaging schools and households through behavior change campaigns. Across the pilots, the common issue is not the absence of collection systems, but the insufficient activation of citizens, schools, and local institutions around correct WEEE disposal and prevention </w:t>
      </w:r>
      <w:proofErr w:type="gramStart"/>
      <w:r w:rsidRPr="00E6691B">
        <w:rPr>
          <w:rFonts w:asciiTheme="minorHAnsi" w:eastAsia="Georgia" w:cs="Georgia"/>
          <w:color w:val="000000"/>
        </w:rPr>
        <w:t>practices .</w:t>
      </w:r>
      <w:proofErr w:type="gramEnd"/>
    </w:p>
    <w:p w14:paraId="2A35EE13" w14:textId="5F92C19F" w:rsidR="00716BE6" w:rsidRPr="00E6691B" w:rsidRDefault="005A1987">
      <w:pPr>
        <w:spacing w:after="210" w:line="360" w:lineRule="auto"/>
        <w:rPr>
          <w:rFonts w:asciiTheme="minorHAnsi"/>
        </w:rPr>
      </w:pPr>
      <w:r w:rsidRPr="00E6691B">
        <w:rPr>
          <w:rFonts w:asciiTheme="minorHAnsi" w:eastAsia="Georgia" w:cs="Georgia"/>
          <w:color w:val="000000"/>
        </w:rPr>
        <w:t>The solution responds to this challenge by combining awareness, education, and collection-oriented action in schools and city-level environments. Its added value lies in using children and school communities as multipliers toward households, while connecting educational work with public authorities and authorized WEEE management channels.</w:t>
      </w:r>
    </w:p>
    <w:p w14:paraId="2A35EE14" w14:textId="77777777" w:rsidR="00716BE6" w:rsidRPr="00E6691B" w:rsidRDefault="005A1987">
      <w:pPr>
        <w:spacing w:before="315" w:after="105" w:line="360" w:lineRule="auto"/>
        <w:ind w:left="-30"/>
        <w:rPr>
          <w:rFonts w:asciiTheme="minorHAnsi"/>
        </w:rPr>
      </w:pPr>
      <w:bookmarkStart w:id="4" w:name="bm_2_2_core_innovation"/>
      <w:r w:rsidRPr="00E6691B">
        <w:rPr>
          <w:rFonts w:asciiTheme="minorHAnsi" w:eastAsia="Georgia" w:cs="Georgia"/>
          <w:b/>
          <w:color w:val="000000"/>
          <w:sz w:val="24"/>
        </w:rPr>
        <w:t>2.2 Core innovation</w:t>
      </w:r>
      <w:bookmarkEnd w:id="4"/>
    </w:p>
    <w:p w14:paraId="2A35EE15" w14:textId="66E157FD" w:rsidR="00716BE6" w:rsidRPr="00E6691B" w:rsidRDefault="005A1987">
      <w:pPr>
        <w:spacing w:after="210" w:line="360" w:lineRule="auto"/>
        <w:rPr>
          <w:rFonts w:asciiTheme="minorHAnsi"/>
        </w:rPr>
      </w:pPr>
      <w:r w:rsidRPr="00E6691B">
        <w:rPr>
          <w:rFonts w:asciiTheme="minorHAnsi" w:eastAsia="Georgia" w:cs="Georgia"/>
          <w:color w:val="000000"/>
        </w:rPr>
        <w:t xml:space="preserve">The core innovation of WEEE BEHAVE is the integration of school-based educational activities with competition, gamification, and links to municipal or authorized collection systems. Rather than relying on information campaigns alone, the solution creates a peer-to-family communication mechanism in which pupils become active messengers of proper WEEE </w:t>
      </w:r>
      <w:proofErr w:type="gramStart"/>
      <w:r w:rsidRPr="00E6691B">
        <w:rPr>
          <w:rFonts w:asciiTheme="minorHAnsi" w:eastAsia="Georgia" w:cs="Georgia"/>
          <w:color w:val="000000"/>
        </w:rPr>
        <w:t>management .</w:t>
      </w:r>
      <w:proofErr w:type="gramEnd"/>
    </w:p>
    <w:p w14:paraId="2A35EE16" w14:textId="6DF97513" w:rsidR="00716BE6" w:rsidRPr="00E6691B" w:rsidRDefault="005A1987">
      <w:pPr>
        <w:spacing w:after="210" w:line="360" w:lineRule="auto"/>
        <w:rPr>
          <w:rFonts w:asciiTheme="minorHAnsi"/>
        </w:rPr>
      </w:pPr>
      <w:r w:rsidRPr="00E6691B">
        <w:rPr>
          <w:rFonts w:asciiTheme="minorHAnsi" w:eastAsia="Georgia" w:cs="Georgia"/>
          <w:color w:val="000000"/>
        </w:rPr>
        <w:t xml:space="preserve">The pilots show that this innovation is flexible in form but stable in logic. Competitions, games, workshops, school campaigns, city games, family outreach, and municipal visibility all serve the same core purpose: to convert awareness into measurable participation and, where possible, into collected </w:t>
      </w:r>
      <w:proofErr w:type="gramStart"/>
      <w:r w:rsidRPr="00E6691B">
        <w:rPr>
          <w:rFonts w:asciiTheme="minorHAnsi" w:eastAsia="Georgia" w:cs="Georgia"/>
          <w:color w:val="000000"/>
        </w:rPr>
        <w:t>WEEE .</w:t>
      </w:r>
      <w:proofErr w:type="gramEnd"/>
    </w:p>
    <w:p w14:paraId="2A35EE17" w14:textId="77777777" w:rsidR="00716BE6" w:rsidRPr="00E6691B" w:rsidRDefault="005A1987">
      <w:pPr>
        <w:spacing w:before="315" w:after="105" w:line="360" w:lineRule="auto"/>
        <w:ind w:left="-30"/>
        <w:rPr>
          <w:rFonts w:asciiTheme="minorHAnsi"/>
        </w:rPr>
      </w:pPr>
      <w:bookmarkStart w:id="5" w:name="bm_2_3_key_wp2_results"/>
      <w:r w:rsidRPr="00E6691B">
        <w:rPr>
          <w:rFonts w:asciiTheme="minorHAnsi" w:eastAsia="Georgia" w:cs="Georgia"/>
          <w:b/>
          <w:color w:val="000000"/>
          <w:sz w:val="24"/>
        </w:rPr>
        <w:lastRenderedPageBreak/>
        <w:t>2.3 Key WP2 results</w:t>
      </w:r>
      <w:bookmarkEnd w:id="5"/>
    </w:p>
    <w:p w14:paraId="2B0EADB7" w14:textId="5D0460A7" w:rsidR="006C41EC" w:rsidRPr="006C41EC" w:rsidRDefault="005A1987">
      <w:pPr>
        <w:spacing w:after="210" w:line="360" w:lineRule="auto"/>
        <w:rPr>
          <w:rFonts w:asciiTheme="minorHAnsi"/>
        </w:rPr>
      </w:pPr>
      <w:r w:rsidRPr="00E6691B">
        <w:rPr>
          <w:rFonts w:asciiTheme="minorHAnsi" w:eastAsia="Georgia" w:cs="Georgia"/>
          <w:color w:val="000000"/>
        </w:rPr>
        <w:t xml:space="preserve">Using the available aggregated KPI values for the </w:t>
      </w:r>
      <w:r w:rsidR="00EB4738">
        <w:rPr>
          <w:rFonts w:asciiTheme="minorHAnsi" w:eastAsia="Georgia" w:cs="Georgia"/>
          <w:color w:val="000000"/>
        </w:rPr>
        <w:t>five</w:t>
      </w:r>
      <w:r w:rsidRPr="00E6691B">
        <w:rPr>
          <w:rFonts w:asciiTheme="minorHAnsi" w:eastAsia="Georgia" w:cs="Georgia"/>
          <w:color w:val="000000"/>
        </w:rPr>
        <w:t xml:space="preserve"> territories with reported data are: </w:t>
      </w:r>
      <w:r w:rsidR="00E77860">
        <w:rPr>
          <w:rFonts w:asciiTheme="minorHAnsi" w:eastAsia="Georgia" w:cs="Georgia"/>
          <w:color w:val="000000"/>
        </w:rPr>
        <w:t xml:space="preserve">4,218 </w:t>
      </w:r>
      <w:r w:rsidRPr="00E6691B">
        <w:rPr>
          <w:rFonts w:asciiTheme="minorHAnsi" w:eastAsia="Georgia" w:cs="Georgia"/>
          <w:color w:val="000000"/>
        </w:rPr>
        <w:t xml:space="preserve">participating students, </w:t>
      </w:r>
      <w:r w:rsidR="00E77860">
        <w:rPr>
          <w:rFonts w:asciiTheme="minorHAnsi" w:eastAsia="Georgia" w:cs="Georgia"/>
          <w:color w:val="000000"/>
        </w:rPr>
        <w:t>2,294</w:t>
      </w:r>
      <w:r w:rsidRPr="00E6691B">
        <w:rPr>
          <w:rFonts w:asciiTheme="minorHAnsi" w:eastAsia="Georgia" w:cs="Georgia"/>
          <w:color w:val="000000"/>
        </w:rPr>
        <w:t xml:space="preserve"> student engagements, 3,</w:t>
      </w:r>
      <w:r w:rsidR="00324EB4">
        <w:rPr>
          <w:rFonts w:asciiTheme="minorHAnsi" w:eastAsia="Georgia" w:cs="Georgia"/>
          <w:color w:val="000000"/>
        </w:rPr>
        <w:t>150</w:t>
      </w:r>
      <w:r w:rsidRPr="00E6691B">
        <w:rPr>
          <w:rFonts w:asciiTheme="minorHAnsi" w:eastAsia="Georgia" w:cs="Georgia"/>
          <w:color w:val="000000"/>
        </w:rPr>
        <w:t xml:space="preserve"> kg of WEEE collected, </w:t>
      </w:r>
      <w:r w:rsidR="00324EB4">
        <w:rPr>
          <w:rFonts w:asciiTheme="minorHAnsi" w:eastAsia="Georgia" w:cs="Georgia"/>
          <w:color w:val="000000"/>
        </w:rPr>
        <w:t>171</w:t>
      </w:r>
      <w:r w:rsidRPr="00E6691B">
        <w:rPr>
          <w:rFonts w:asciiTheme="minorHAnsi" w:eastAsia="Georgia" w:cs="Georgia"/>
          <w:color w:val="000000"/>
        </w:rPr>
        <w:t xml:space="preserve"> participating classes, and </w:t>
      </w:r>
      <w:r w:rsidR="00324EB4">
        <w:rPr>
          <w:rFonts w:asciiTheme="minorHAnsi" w:eastAsia="Georgia" w:cs="Georgia"/>
          <w:color w:val="000000"/>
        </w:rPr>
        <w:t>204</w:t>
      </w:r>
      <w:r w:rsidRPr="00E6691B">
        <w:rPr>
          <w:rFonts w:asciiTheme="minorHAnsi" w:eastAsia="Georgia" w:cs="Georgia"/>
          <w:color w:val="000000"/>
        </w:rPr>
        <w:t xml:space="preserve"> teachers involved. These are the values explicitly reported in the all-territories aggregation </w:t>
      </w:r>
      <w:proofErr w:type="gramStart"/>
      <w:r w:rsidRPr="00E6691B">
        <w:rPr>
          <w:rFonts w:asciiTheme="minorHAnsi" w:eastAsia="Georgia" w:cs="Georgia"/>
          <w:color w:val="000000"/>
        </w:rPr>
        <w:t xml:space="preserve">table </w:t>
      </w:r>
      <w:r w:rsidR="00324EB4">
        <w:rPr>
          <w:rFonts w:asciiTheme="minorHAnsi" w:eastAsia="Georgia" w:cs="Georgia"/>
          <w:color w:val="000000"/>
        </w:rPr>
        <w:t>.</w:t>
      </w:r>
      <w:proofErr w:type="gramEnd"/>
    </w:p>
    <w:p w14:paraId="2A35EE1A" w14:textId="3060AEC0" w:rsidR="00716BE6" w:rsidRPr="00E6691B" w:rsidRDefault="005A1987">
      <w:pPr>
        <w:spacing w:after="210" w:line="360" w:lineRule="auto"/>
        <w:rPr>
          <w:rFonts w:asciiTheme="minorHAnsi"/>
        </w:rPr>
      </w:pPr>
      <w:r w:rsidRPr="00E6691B">
        <w:rPr>
          <w:rFonts w:asciiTheme="minorHAnsi" w:eastAsia="Georgia" w:cs="Georgia"/>
          <w:b/>
          <w:color w:val="000000"/>
        </w:rPr>
        <w:t>KPI snapshot:</w:t>
      </w:r>
    </w:p>
    <w:p w14:paraId="2A35EE1B" w14:textId="6FC5FCD7" w:rsidR="00716BE6" w:rsidRPr="00E6691B" w:rsidRDefault="005A1987">
      <w:pPr>
        <w:numPr>
          <w:ilvl w:val="0"/>
          <w:numId w:val="1"/>
        </w:numPr>
        <w:spacing w:before="105" w:after="105" w:line="360" w:lineRule="auto"/>
        <w:rPr>
          <w:rFonts w:asciiTheme="minorHAnsi"/>
        </w:rPr>
      </w:pPr>
      <w:r w:rsidRPr="00E6691B">
        <w:rPr>
          <w:rFonts w:asciiTheme="minorHAnsi" w:eastAsia="Georgia" w:cs="Georgia"/>
          <w:color w:val="000000"/>
        </w:rPr>
        <w:t xml:space="preserve">Participating students: </w:t>
      </w:r>
      <w:r w:rsidR="006114C0" w:rsidRPr="006114C0">
        <w:rPr>
          <w:rFonts w:asciiTheme="minorHAnsi" w:eastAsia="Georgia" w:cs="Georgia"/>
          <w:color w:val="000000"/>
        </w:rPr>
        <w:t>4218</w:t>
      </w:r>
    </w:p>
    <w:p w14:paraId="2A35EE1C" w14:textId="56C8C8A3" w:rsidR="00716BE6" w:rsidRPr="00E6691B" w:rsidRDefault="005A1987">
      <w:pPr>
        <w:numPr>
          <w:ilvl w:val="0"/>
          <w:numId w:val="1"/>
        </w:numPr>
        <w:spacing w:before="105" w:after="105" w:line="360" w:lineRule="auto"/>
        <w:rPr>
          <w:rFonts w:asciiTheme="minorHAnsi"/>
        </w:rPr>
      </w:pPr>
      <w:r w:rsidRPr="00E6691B">
        <w:rPr>
          <w:rFonts w:asciiTheme="minorHAnsi" w:eastAsia="Georgia" w:cs="Georgia"/>
          <w:color w:val="000000"/>
        </w:rPr>
        <w:t xml:space="preserve">Student engagements: </w:t>
      </w:r>
      <w:r w:rsidR="006114C0" w:rsidRPr="006114C0">
        <w:rPr>
          <w:rFonts w:asciiTheme="minorHAnsi" w:eastAsia="Georgia" w:cs="Georgia"/>
          <w:color w:val="000000"/>
        </w:rPr>
        <w:t>2294</w:t>
      </w:r>
    </w:p>
    <w:p w14:paraId="2A35EE1D" w14:textId="3788915C" w:rsidR="00716BE6" w:rsidRPr="00E6691B" w:rsidRDefault="005A1987">
      <w:pPr>
        <w:numPr>
          <w:ilvl w:val="0"/>
          <w:numId w:val="1"/>
        </w:numPr>
        <w:spacing w:before="105" w:after="105" w:line="360" w:lineRule="auto"/>
        <w:rPr>
          <w:rFonts w:asciiTheme="minorHAnsi"/>
        </w:rPr>
      </w:pPr>
      <w:r w:rsidRPr="00E6691B">
        <w:rPr>
          <w:rFonts w:asciiTheme="minorHAnsi" w:eastAsia="Georgia" w:cs="Georgia"/>
          <w:color w:val="000000"/>
        </w:rPr>
        <w:t xml:space="preserve">WEEE collected: </w:t>
      </w:r>
      <w:r w:rsidR="006114C0" w:rsidRPr="006114C0">
        <w:rPr>
          <w:rFonts w:asciiTheme="minorHAnsi" w:eastAsia="Georgia" w:cs="Georgia"/>
          <w:color w:val="000000"/>
        </w:rPr>
        <w:t>3150</w:t>
      </w:r>
      <w:r w:rsidR="006114C0">
        <w:rPr>
          <w:rFonts w:asciiTheme="minorHAnsi" w:eastAsia="Georgia" w:cs="Georgia"/>
          <w:color w:val="000000"/>
        </w:rPr>
        <w:t xml:space="preserve"> </w:t>
      </w:r>
      <w:r w:rsidRPr="00E6691B">
        <w:rPr>
          <w:rFonts w:asciiTheme="minorHAnsi" w:eastAsia="Georgia" w:cs="Georgia"/>
          <w:color w:val="000000"/>
        </w:rPr>
        <w:t xml:space="preserve">kg </w:t>
      </w:r>
    </w:p>
    <w:p w14:paraId="2A35EE1E" w14:textId="3F1255D7" w:rsidR="00716BE6" w:rsidRPr="00E6691B" w:rsidRDefault="005A1987">
      <w:pPr>
        <w:numPr>
          <w:ilvl w:val="0"/>
          <w:numId w:val="1"/>
        </w:numPr>
        <w:spacing w:before="105" w:after="105" w:line="360" w:lineRule="auto"/>
        <w:rPr>
          <w:rFonts w:asciiTheme="minorHAnsi"/>
        </w:rPr>
      </w:pPr>
      <w:r w:rsidRPr="00E6691B">
        <w:rPr>
          <w:rFonts w:asciiTheme="minorHAnsi" w:eastAsia="Georgia" w:cs="Georgia"/>
          <w:color w:val="000000"/>
        </w:rPr>
        <w:t xml:space="preserve">Participating classes: </w:t>
      </w:r>
      <w:r w:rsidR="001503D8">
        <w:rPr>
          <w:rFonts w:asciiTheme="minorHAnsi" w:eastAsia="Georgia" w:cs="Georgia"/>
          <w:color w:val="000000"/>
        </w:rPr>
        <w:t>171</w:t>
      </w:r>
      <w:r w:rsidRPr="00E6691B">
        <w:rPr>
          <w:rFonts w:asciiTheme="minorHAnsi" w:eastAsia="Georgia" w:cs="Georgia"/>
          <w:color w:val="000000"/>
        </w:rPr>
        <w:t xml:space="preserve"> </w:t>
      </w:r>
    </w:p>
    <w:p w14:paraId="2A35EE1F" w14:textId="1FC2AB37" w:rsidR="00716BE6" w:rsidRPr="00E6691B" w:rsidRDefault="005A1987">
      <w:pPr>
        <w:numPr>
          <w:ilvl w:val="0"/>
          <w:numId w:val="1"/>
        </w:numPr>
        <w:spacing w:before="105" w:after="105" w:line="360" w:lineRule="auto"/>
        <w:rPr>
          <w:rFonts w:asciiTheme="minorHAnsi"/>
        </w:rPr>
      </w:pPr>
      <w:r w:rsidRPr="00E6691B">
        <w:rPr>
          <w:rFonts w:asciiTheme="minorHAnsi" w:eastAsia="Georgia" w:cs="Georgia"/>
          <w:color w:val="000000"/>
        </w:rPr>
        <w:t xml:space="preserve">Teacher involvement: </w:t>
      </w:r>
      <w:r w:rsidR="001503D8">
        <w:rPr>
          <w:rFonts w:asciiTheme="minorHAnsi" w:eastAsia="Georgia" w:cs="Georgia"/>
          <w:color w:val="000000"/>
        </w:rPr>
        <w:t>204</w:t>
      </w:r>
      <w:r w:rsidRPr="00E6691B">
        <w:rPr>
          <w:rFonts w:asciiTheme="minorHAnsi" w:eastAsia="Georgia" w:cs="Georgia"/>
          <w:color w:val="000000"/>
        </w:rPr>
        <w:t xml:space="preserve"> </w:t>
      </w:r>
    </w:p>
    <w:p w14:paraId="2A35EE20" w14:textId="77777777" w:rsidR="00716BE6" w:rsidRPr="00E6691B" w:rsidRDefault="005A1987">
      <w:pPr>
        <w:spacing w:before="315" w:after="105" w:line="360" w:lineRule="auto"/>
        <w:ind w:left="-30"/>
        <w:rPr>
          <w:rFonts w:asciiTheme="minorHAnsi"/>
        </w:rPr>
      </w:pPr>
      <w:bookmarkStart w:id="6" w:name="bm_2_4_transnational_potential"/>
      <w:r w:rsidRPr="00E6691B">
        <w:rPr>
          <w:rFonts w:asciiTheme="minorHAnsi" w:eastAsia="Georgia" w:cs="Georgia"/>
          <w:b/>
          <w:color w:val="000000"/>
          <w:sz w:val="24"/>
        </w:rPr>
        <w:t>2.4 Transnational potential</w:t>
      </w:r>
      <w:bookmarkEnd w:id="6"/>
    </w:p>
    <w:p w14:paraId="2A35EE21" w14:textId="0CB4DAEE" w:rsidR="00716BE6" w:rsidRPr="00E6691B" w:rsidRDefault="005A1987">
      <w:pPr>
        <w:spacing w:after="210" w:line="360" w:lineRule="auto"/>
        <w:rPr>
          <w:rFonts w:asciiTheme="minorHAnsi"/>
        </w:rPr>
      </w:pPr>
      <w:r w:rsidRPr="00E6691B">
        <w:rPr>
          <w:rFonts w:asciiTheme="minorHAnsi" w:eastAsia="Georgia" w:cs="Georgia"/>
          <w:color w:val="000000"/>
        </w:rPr>
        <w:t>WEEE BEHAVE has strong transnational potential because its core enabling conditions are widely available across MED territories: schools, public authorities, and some form of WEEE management structure. The pilot evidence suggests that the solution can travel well across territories when adapted in language, governance, educational format, and collection logistics rather than replicated as a rigid one-size-fits-all model [file:5].</w:t>
      </w:r>
    </w:p>
    <w:p w14:paraId="2A35EE22" w14:textId="113F9E1A" w:rsidR="00716BE6" w:rsidRPr="00E6691B" w:rsidRDefault="005A1987">
      <w:pPr>
        <w:spacing w:after="210" w:line="360" w:lineRule="auto"/>
        <w:rPr>
          <w:rFonts w:asciiTheme="minorHAnsi"/>
        </w:rPr>
      </w:pPr>
      <w:r w:rsidRPr="00E6691B">
        <w:rPr>
          <w:rFonts w:asciiTheme="minorHAnsi" w:eastAsia="Georgia" w:cs="Georgia"/>
          <w:color w:val="000000"/>
        </w:rPr>
        <w:t xml:space="preserve">The solution is particularly suitable for capitalization because it does not require major infrastructure investments. What it requires most is coordination capacity, educational material adapted to local audiences, and a credible institutional link between awareness activities and legal disposal </w:t>
      </w:r>
      <w:proofErr w:type="gramStart"/>
      <w:r w:rsidRPr="00E6691B">
        <w:rPr>
          <w:rFonts w:asciiTheme="minorHAnsi" w:eastAsia="Georgia" w:cs="Georgia"/>
          <w:color w:val="000000"/>
        </w:rPr>
        <w:t>routes .</w:t>
      </w:r>
      <w:proofErr w:type="gramEnd"/>
    </w:p>
    <w:p w14:paraId="2A35EE23" w14:textId="77777777" w:rsidR="00716BE6" w:rsidRPr="00E6691B" w:rsidRDefault="005A1987">
      <w:pPr>
        <w:spacing w:before="315" w:after="105" w:line="360" w:lineRule="auto"/>
        <w:ind w:left="-30"/>
        <w:rPr>
          <w:rFonts w:asciiTheme="minorHAnsi"/>
        </w:rPr>
      </w:pPr>
      <w:bookmarkStart w:id="7" w:name="bm_2_5_target_adopters_for_2027"/>
      <w:r w:rsidRPr="00E6691B">
        <w:rPr>
          <w:rFonts w:asciiTheme="minorHAnsi" w:eastAsia="Georgia" w:cs="Georgia"/>
          <w:b/>
          <w:color w:val="000000"/>
          <w:sz w:val="24"/>
        </w:rPr>
        <w:t>2.5 Target adopters for 2027</w:t>
      </w:r>
      <w:bookmarkEnd w:id="7"/>
    </w:p>
    <w:p w14:paraId="2A35EE24" w14:textId="77777777" w:rsidR="00716BE6" w:rsidRPr="00E6691B" w:rsidRDefault="005A1987">
      <w:pPr>
        <w:spacing w:after="210" w:line="360" w:lineRule="auto"/>
        <w:rPr>
          <w:rFonts w:asciiTheme="minorHAnsi"/>
        </w:rPr>
      </w:pPr>
      <w:r w:rsidRPr="00E6691B">
        <w:rPr>
          <w:rFonts w:asciiTheme="minorHAnsi" w:eastAsia="Georgia" w:cs="Georgia"/>
          <w:color w:val="000000"/>
        </w:rPr>
        <w:t>The most suitable adopters are:</w:t>
      </w:r>
    </w:p>
    <w:p w14:paraId="2A35EE25" w14:textId="6418FFDC" w:rsidR="00716BE6" w:rsidRPr="00E6691B" w:rsidRDefault="005A1987">
      <w:pPr>
        <w:numPr>
          <w:ilvl w:val="0"/>
          <w:numId w:val="2"/>
        </w:numPr>
        <w:spacing w:before="105" w:after="105" w:line="360" w:lineRule="auto"/>
        <w:rPr>
          <w:rFonts w:asciiTheme="minorHAnsi"/>
        </w:rPr>
      </w:pPr>
      <w:bookmarkStart w:id="8" w:name="_Hlk230869010"/>
      <w:r w:rsidRPr="00E6691B">
        <w:rPr>
          <w:rFonts w:asciiTheme="minorHAnsi" w:eastAsia="Georgia" w:cs="Georgia"/>
          <w:color w:val="000000"/>
        </w:rPr>
        <w:t>School systems and education boards working with municipalities or regions</w:t>
      </w:r>
      <w:bookmarkEnd w:id="8"/>
      <w:r w:rsidR="002107B6">
        <w:rPr>
          <w:rFonts w:asciiTheme="minorHAnsi" w:eastAsia="Georgia" w:cs="Georgia"/>
          <w:color w:val="000000"/>
        </w:rPr>
        <w:t>.</w:t>
      </w:r>
    </w:p>
    <w:p w14:paraId="2A35EE26" w14:textId="4C0CEDA5" w:rsidR="00716BE6" w:rsidRPr="00E6691B" w:rsidRDefault="005A1987">
      <w:pPr>
        <w:numPr>
          <w:ilvl w:val="0"/>
          <w:numId w:val="2"/>
        </w:numPr>
        <w:spacing w:before="105" w:after="105" w:line="360" w:lineRule="auto"/>
        <w:rPr>
          <w:rFonts w:asciiTheme="minorHAnsi"/>
        </w:rPr>
      </w:pPr>
      <w:r w:rsidRPr="00E6691B">
        <w:rPr>
          <w:rFonts w:asciiTheme="minorHAnsi" w:eastAsia="Georgia" w:cs="Georgia"/>
          <w:color w:val="000000"/>
        </w:rPr>
        <w:t xml:space="preserve">Municipal and regional waste management authorities </w:t>
      </w:r>
    </w:p>
    <w:p w14:paraId="2A35EE27" w14:textId="2705C19D" w:rsidR="00716BE6" w:rsidRPr="00E6691B" w:rsidRDefault="005A1987">
      <w:pPr>
        <w:numPr>
          <w:ilvl w:val="0"/>
          <w:numId w:val="2"/>
        </w:numPr>
        <w:spacing w:before="105" w:after="105" w:line="360" w:lineRule="auto"/>
        <w:rPr>
          <w:rFonts w:asciiTheme="minorHAnsi"/>
        </w:rPr>
      </w:pPr>
      <w:r w:rsidRPr="00E6691B">
        <w:rPr>
          <w:rFonts w:asciiTheme="minorHAnsi" w:eastAsia="Georgia" w:cs="Georgia"/>
          <w:color w:val="000000"/>
        </w:rPr>
        <w:t xml:space="preserve">Municipal associations and intermediary territorial organizations coordinating multiple schools or municipalities </w:t>
      </w:r>
    </w:p>
    <w:p w14:paraId="2A35EE28" w14:textId="22E16261" w:rsidR="00716BE6" w:rsidRPr="00E6691B" w:rsidRDefault="005A1987">
      <w:pPr>
        <w:numPr>
          <w:ilvl w:val="0"/>
          <w:numId w:val="2"/>
        </w:numPr>
        <w:spacing w:before="105" w:after="105" w:line="360" w:lineRule="auto"/>
        <w:rPr>
          <w:rFonts w:asciiTheme="minorHAnsi"/>
        </w:rPr>
      </w:pPr>
      <w:r w:rsidRPr="00E6691B">
        <w:rPr>
          <w:rFonts w:asciiTheme="minorHAnsi" w:eastAsia="Georgia" w:cs="Georgia"/>
          <w:color w:val="000000"/>
        </w:rPr>
        <w:t xml:space="preserve">NGOs and environmental education organizations </w:t>
      </w:r>
    </w:p>
    <w:p w14:paraId="2A35EE29" w14:textId="3B87DB83" w:rsidR="00716BE6" w:rsidRPr="00E6691B" w:rsidRDefault="005A1987">
      <w:pPr>
        <w:numPr>
          <w:ilvl w:val="0"/>
          <w:numId w:val="2"/>
        </w:numPr>
        <w:spacing w:before="105" w:after="105" w:line="360" w:lineRule="auto"/>
        <w:rPr>
          <w:rFonts w:asciiTheme="minorHAnsi"/>
        </w:rPr>
      </w:pPr>
      <w:r w:rsidRPr="00E6691B">
        <w:rPr>
          <w:rFonts w:asciiTheme="minorHAnsi" w:eastAsia="Georgia" w:cs="Georgia"/>
          <w:color w:val="000000"/>
        </w:rPr>
        <w:lastRenderedPageBreak/>
        <w:t xml:space="preserve">EPR schemes and circular economy networks interested in prevention and behavioral change actions </w:t>
      </w:r>
    </w:p>
    <w:p w14:paraId="2A35EE2A" w14:textId="77777777" w:rsidR="00716BE6" w:rsidRPr="00E6691B" w:rsidRDefault="005A1987">
      <w:pPr>
        <w:spacing w:before="315" w:after="105" w:line="360" w:lineRule="auto"/>
        <w:ind w:left="-30"/>
        <w:rPr>
          <w:rFonts w:asciiTheme="minorHAnsi"/>
        </w:rPr>
      </w:pPr>
      <w:bookmarkStart w:id="9" w:name="bm_3_wp2_results_table"/>
      <w:r w:rsidRPr="00E6691B">
        <w:rPr>
          <w:rFonts w:asciiTheme="minorHAnsi" w:eastAsia="Georgia" w:cs="Georgia"/>
          <w:b/>
          <w:color w:val="000000"/>
          <w:sz w:val="24"/>
        </w:rPr>
        <w:t>3. WP2 results table</w:t>
      </w:r>
      <w:bookmarkEnd w:id="9"/>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666"/>
        <w:gridCol w:w="1510"/>
        <w:gridCol w:w="2318"/>
        <w:gridCol w:w="1014"/>
        <w:gridCol w:w="1649"/>
        <w:gridCol w:w="1347"/>
      </w:tblGrid>
      <w:tr w:rsidR="00A47D4B" w:rsidRPr="00E6691B" w14:paraId="2A35EE2F" w14:textId="77777777" w:rsidTr="00A47D4B">
        <w:trPr>
          <w:cantSplit/>
          <w:tblCellSpacing w:w="0" w:type="dxa"/>
          <w:jc w:val="center"/>
        </w:trPr>
        <w:tc>
          <w:tcPr>
            <w:tcW w:w="0" w:type="auto"/>
            <w:tcBorders>
              <w:top w:val="single" w:sz="1" w:space="0" w:color="000000"/>
              <w:bottom w:val="single" w:sz="1" w:space="0" w:color="000000"/>
              <w:right w:val="single" w:sz="1" w:space="0" w:color="000000"/>
            </w:tcBorders>
          </w:tcPr>
          <w:p w14:paraId="2A35EE2B" w14:textId="77777777" w:rsidR="00A47D4B" w:rsidRPr="00E6691B" w:rsidRDefault="00A47D4B">
            <w:pPr>
              <w:spacing w:line="360" w:lineRule="auto"/>
              <w:rPr>
                <w:rFonts w:asciiTheme="minorHAnsi"/>
              </w:rPr>
            </w:pPr>
            <w:r w:rsidRPr="00E6691B">
              <w:rPr>
                <w:rFonts w:asciiTheme="minorHAnsi" w:eastAsia="Helvetica Neue" w:cs="Helvetica Neue"/>
                <w:color w:val="000000"/>
                <w:sz w:val="17"/>
              </w:rPr>
              <w:t>KPI</w:t>
            </w:r>
          </w:p>
        </w:tc>
        <w:tc>
          <w:tcPr>
            <w:tcW w:w="0" w:type="auto"/>
            <w:tcBorders>
              <w:top w:val="single" w:sz="1" w:space="0" w:color="000000"/>
              <w:bottom w:val="single" w:sz="1" w:space="0" w:color="000000"/>
              <w:right w:val="single" w:sz="1" w:space="0" w:color="000000"/>
            </w:tcBorders>
          </w:tcPr>
          <w:p w14:paraId="2A35EE2C" w14:textId="77777777" w:rsidR="00A47D4B" w:rsidRPr="00E6691B" w:rsidRDefault="00A47D4B">
            <w:pPr>
              <w:spacing w:line="360" w:lineRule="auto"/>
              <w:jc w:val="right"/>
              <w:rPr>
                <w:rFonts w:asciiTheme="minorHAnsi"/>
              </w:rPr>
            </w:pPr>
            <w:r w:rsidRPr="00E6691B">
              <w:rPr>
                <w:rFonts w:asciiTheme="minorHAnsi" w:eastAsia="Helvetica Neue" w:cs="Helvetica Neue"/>
                <w:color w:val="000000"/>
                <w:sz w:val="17"/>
              </w:rPr>
              <w:t>Target (all territories)</w:t>
            </w:r>
          </w:p>
        </w:tc>
        <w:tc>
          <w:tcPr>
            <w:tcW w:w="0" w:type="auto"/>
            <w:tcBorders>
              <w:top w:val="single" w:sz="1" w:space="0" w:color="000000"/>
              <w:bottom w:val="single" w:sz="1" w:space="0" w:color="000000"/>
              <w:right w:val="single" w:sz="1" w:space="0" w:color="000000"/>
            </w:tcBorders>
          </w:tcPr>
          <w:p w14:paraId="2A35EE2D" w14:textId="77777777" w:rsidR="00A47D4B" w:rsidRPr="00E6691B" w:rsidRDefault="00A47D4B">
            <w:pPr>
              <w:spacing w:line="360" w:lineRule="auto"/>
              <w:jc w:val="right"/>
              <w:rPr>
                <w:rFonts w:asciiTheme="minorHAnsi"/>
              </w:rPr>
            </w:pPr>
            <w:r w:rsidRPr="00E6691B">
              <w:rPr>
                <w:rFonts w:asciiTheme="minorHAnsi" w:eastAsia="Helvetica Neue" w:cs="Helvetica Neue"/>
                <w:color w:val="000000"/>
                <w:sz w:val="17"/>
              </w:rPr>
              <w:t>Achieved with available aggregated data</w:t>
            </w:r>
          </w:p>
        </w:tc>
        <w:tc>
          <w:tcPr>
            <w:tcW w:w="0" w:type="auto"/>
            <w:tcBorders>
              <w:top w:val="single" w:sz="2" w:space="0" w:color="000000"/>
              <w:bottom w:val="single" w:sz="2" w:space="0" w:color="000000"/>
              <w:right w:val="single" w:sz="4" w:space="0" w:color="auto"/>
            </w:tcBorders>
          </w:tcPr>
          <w:p w14:paraId="557D7F1B" w14:textId="4A0F146A" w:rsidR="00A47D4B" w:rsidRPr="0060188D" w:rsidRDefault="00A47D4B" w:rsidP="0060188D">
            <w:pPr>
              <w:spacing w:line="360" w:lineRule="auto"/>
              <w:jc w:val="right"/>
              <w:rPr>
                <w:rFonts w:asciiTheme="minorHAnsi" w:eastAsia="Helvetica Neue" w:cs="Helvetica Neue"/>
                <w:color w:val="000000"/>
                <w:sz w:val="17"/>
              </w:rPr>
            </w:pPr>
            <w:r>
              <w:rPr>
                <w:rFonts w:asciiTheme="minorHAnsi" w:eastAsia="Helvetica Neue" w:cs="Helvetica Neue"/>
                <w:color w:val="000000"/>
                <w:sz w:val="17"/>
              </w:rPr>
              <w:t>Average %</w:t>
            </w:r>
          </w:p>
        </w:tc>
        <w:tc>
          <w:tcPr>
            <w:tcW w:w="0" w:type="auto"/>
            <w:tcBorders>
              <w:top w:val="single" w:sz="2" w:space="0" w:color="000000"/>
              <w:bottom w:val="single" w:sz="2" w:space="0" w:color="000000"/>
              <w:right w:val="single" w:sz="4" w:space="0" w:color="auto"/>
            </w:tcBorders>
          </w:tcPr>
          <w:p w14:paraId="2B127CB9" w14:textId="4D7D283D" w:rsidR="00A47D4B" w:rsidRPr="00E6691B" w:rsidRDefault="00A47D4B" w:rsidP="0060188D">
            <w:pPr>
              <w:spacing w:line="360" w:lineRule="auto"/>
              <w:jc w:val="right"/>
              <w:rPr>
                <w:rFonts w:asciiTheme="minorHAnsi" w:eastAsia="Helvetica Neue" w:cs="Helvetica Neue"/>
                <w:color w:val="000000"/>
                <w:sz w:val="17"/>
              </w:rPr>
            </w:pPr>
            <w:r w:rsidRPr="0060188D">
              <w:rPr>
                <w:rFonts w:asciiTheme="minorHAnsi" w:eastAsia="Helvetica Neue" w:cs="Helvetica Neue"/>
                <w:color w:val="000000"/>
                <w:sz w:val="17"/>
              </w:rPr>
              <w:t>Range (Low-High Territory</w:t>
            </w:r>
          </w:p>
        </w:tc>
        <w:tc>
          <w:tcPr>
            <w:tcW w:w="0" w:type="auto"/>
            <w:tcBorders>
              <w:top w:val="single" w:sz="1" w:space="0" w:color="000000"/>
              <w:bottom w:val="single" w:sz="1" w:space="0" w:color="000000"/>
            </w:tcBorders>
          </w:tcPr>
          <w:p w14:paraId="2A35EE2E" w14:textId="272755C7" w:rsidR="00A47D4B" w:rsidRPr="00E6691B" w:rsidRDefault="00A47D4B">
            <w:pPr>
              <w:spacing w:line="360" w:lineRule="auto"/>
              <w:rPr>
                <w:rFonts w:asciiTheme="minorHAnsi"/>
              </w:rPr>
            </w:pPr>
            <w:r w:rsidRPr="00E6691B">
              <w:rPr>
                <w:rFonts w:asciiTheme="minorHAnsi" w:eastAsia="Helvetica Neue" w:cs="Helvetica Neue"/>
                <w:color w:val="000000"/>
                <w:sz w:val="17"/>
              </w:rPr>
              <w:t>Notes</w:t>
            </w:r>
          </w:p>
        </w:tc>
      </w:tr>
      <w:tr w:rsidR="00A47D4B" w:rsidRPr="00E6691B" w14:paraId="2A35EE34" w14:textId="77777777" w:rsidTr="00A47D4B">
        <w:trPr>
          <w:cantSplit/>
          <w:tblCellSpacing w:w="0" w:type="dxa"/>
          <w:jc w:val="center"/>
        </w:trPr>
        <w:tc>
          <w:tcPr>
            <w:tcW w:w="0" w:type="auto"/>
            <w:tcBorders>
              <w:top w:val="single" w:sz="1" w:space="0" w:color="000000"/>
              <w:bottom w:val="single" w:sz="1" w:space="0" w:color="000000"/>
              <w:right w:val="single" w:sz="1" w:space="0" w:color="000000"/>
            </w:tcBorders>
          </w:tcPr>
          <w:p w14:paraId="2A35EE30" w14:textId="2F0F7809" w:rsidR="00A47D4B" w:rsidRPr="00E6691B" w:rsidRDefault="00A47D4B">
            <w:pPr>
              <w:spacing w:line="360" w:lineRule="auto"/>
              <w:rPr>
                <w:rFonts w:asciiTheme="minorHAnsi"/>
              </w:rPr>
            </w:pPr>
            <w:bookmarkStart w:id="10" w:name="_Hlk230779989"/>
            <w:r w:rsidRPr="00E6691B">
              <w:rPr>
                <w:rFonts w:asciiTheme="minorHAnsi" w:eastAsia="Helvetica Neue" w:cs="Helvetica Neue"/>
                <w:color w:val="000000"/>
                <w:sz w:val="17"/>
              </w:rPr>
              <w:t>Participating students</w:t>
            </w:r>
          </w:p>
        </w:tc>
        <w:tc>
          <w:tcPr>
            <w:tcW w:w="0" w:type="auto"/>
            <w:tcBorders>
              <w:top w:val="single" w:sz="1" w:space="0" w:color="000000"/>
              <w:bottom w:val="single" w:sz="1" w:space="0" w:color="000000"/>
              <w:right w:val="single" w:sz="1" w:space="0" w:color="000000"/>
            </w:tcBorders>
          </w:tcPr>
          <w:p w14:paraId="2A35EE31" w14:textId="65FCF3E0" w:rsidR="00A47D4B" w:rsidRPr="00E6691B" w:rsidRDefault="00A47D4B">
            <w:pPr>
              <w:spacing w:line="360" w:lineRule="auto"/>
              <w:jc w:val="right"/>
              <w:rPr>
                <w:rFonts w:asciiTheme="minorHAnsi"/>
              </w:rPr>
            </w:pPr>
            <w:r w:rsidRPr="00E6691B">
              <w:rPr>
                <w:rFonts w:asciiTheme="minorHAnsi" w:eastAsia="Helvetica Neue" w:cs="Helvetica Neue"/>
                <w:color w:val="000000"/>
                <w:sz w:val="17"/>
              </w:rPr>
              <w:t xml:space="preserve">500 </w:t>
            </w:r>
          </w:p>
        </w:tc>
        <w:tc>
          <w:tcPr>
            <w:tcW w:w="0" w:type="auto"/>
            <w:tcBorders>
              <w:top w:val="single" w:sz="1" w:space="0" w:color="000000"/>
              <w:bottom w:val="single" w:sz="1" w:space="0" w:color="000000"/>
              <w:right w:val="single" w:sz="1" w:space="0" w:color="000000"/>
            </w:tcBorders>
          </w:tcPr>
          <w:p w14:paraId="2A35EE32" w14:textId="5BEB8728" w:rsidR="00A47D4B" w:rsidRPr="00E6691B" w:rsidRDefault="00A47D4B">
            <w:pPr>
              <w:spacing w:line="360" w:lineRule="auto"/>
              <w:jc w:val="right"/>
              <w:rPr>
                <w:rFonts w:asciiTheme="minorHAnsi"/>
              </w:rPr>
            </w:pPr>
            <w:bookmarkStart w:id="11" w:name="_Hlk230860588"/>
            <w:r>
              <w:rPr>
                <w:rFonts w:asciiTheme="minorHAnsi" w:eastAsia="Helvetica Neue" w:cs="Helvetica Neue"/>
                <w:color w:val="000000"/>
                <w:sz w:val="17"/>
              </w:rPr>
              <w:t>4218</w:t>
            </w:r>
            <w:bookmarkEnd w:id="11"/>
            <w:r w:rsidRPr="00E6691B">
              <w:rPr>
                <w:rFonts w:asciiTheme="minorHAnsi" w:eastAsia="Helvetica Neue" w:cs="Helvetica Neue"/>
                <w:color w:val="000000"/>
                <w:sz w:val="17"/>
              </w:rPr>
              <w:t xml:space="preserve"> </w:t>
            </w:r>
          </w:p>
        </w:tc>
        <w:tc>
          <w:tcPr>
            <w:tcW w:w="0" w:type="auto"/>
            <w:tcBorders>
              <w:top w:val="single" w:sz="2" w:space="0" w:color="000000"/>
              <w:bottom w:val="single" w:sz="2" w:space="0" w:color="000000"/>
              <w:right w:val="single" w:sz="4" w:space="0" w:color="auto"/>
            </w:tcBorders>
          </w:tcPr>
          <w:p w14:paraId="4AEB4EC0" w14:textId="6354F104" w:rsidR="00A47D4B" w:rsidRDefault="00644B12">
            <w:pPr>
              <w:spacing w:line="360" w:lineRule="auto"/>
              <w:rPr>
                <w:rFonts w:asciiTheme="minorHAnsi" w:eastAsia="Helvetica Neue" w:cs="Helvetica Neue"/>
                <w:color w:val="000000"/>
                <w:sz w:val="17"/>
              </w:rPr>
            </w:pPr>
            <w:r>
              <w:rPr>
                <w:rFonts w:asciiTheme="minorHAnsi" w:eastAsia="Helvetica Neue" w:cs="Helvetica Neue"/>
                <w:color w:val="000000"/>
                <w:sz w:val="17"/>
              </w:rPr>
              <w:t>843,</w:t>
            </w:r>
            <w:r w:rsidR="00581A98">
              <w:rPr>
                <w:rFonts w:asciiTheme="minorHAnsi" w:eastAsia="Helvetica Neue" w:cs="Helvetica Neue"/>
                <w:color w:val="000000"/>
                <w:sz w:val="17"/>
              </w:rPr>
              <w:t>6%</w:t>
            </w:r>
          </w:p>
        </w:tc>
        <w:tc>
          <w:tcPr>
            <w:tcW w:w="0" w:type="auto"/>
            <w:tcBorders>
              <w:top w:val="single" w:sz="2" w:space="0" w:color="000000"/>
              <w:bottom w:val="single" w:sz="2" w:space="0" w:color="000000"/>
              <w:right w:val="single" w:sz="4" w:space="0" w:color="auto"/>
            </w:tcBorders>
          </w:tcPr>
          <w:p w14:paraId="7AE9F7B8" w14:textId="54E406F2" w:rsidR="00A47D4B" w:rsidRPr="00E6691B" w:rsidRDefault="00A47D4B">
            <w:pPr>
              <w:spacing w:line="360" w:lineRule="auto"/>
              <w:rPr>
                <w:rFonts w:asciiTheme="minorHAnsi" w:eastAsia="Helvetica Neue" w:cs="Helvetica Neue"/>
                <w:color w:val="000000"/>
                <w:sz w:val="17"/>
              </w:rPr>
            </w:pPr>
            <w:bookmarkStart w:id="12" w:name="_Hlk230778765"/>
            <w:r>
              <w:rPr>
                <w:rFonts w:asciiTheme="minorHAnsi" w:eastAsia="Helvetica Neue" w:cs="Helvetica Neue"/>
                <w:color w:val="000000"/>
                <w:sz w:val="17"/>
              </w:rPr>
              <w:t>Cyprus 120; Greece 1406</w:t>
            </w:r>
            <w:bookmarkEnd w:id="12"/>
          </w:p>
        </w:tc>
        <w:tc>
          <w:tcPr>
            <w:tcW w:w="0" w:type="auto"/>
            <w:tcBorders>
              <w:top w:val="single" w:sz="1" w:space="0" w:color="000000"/>
              <w:bottom w:val="single" w:sz="1" w:space="0" w:color="000000"/>
            </w:tcBorders>
          </w:tcPr>
          <w:p w14:paraId="2A35EE33" w14:textId="5D73B4AC" w:rsidR="00A47D4B" w:rsidRPr="00E6691B" w:rsidRDefault="00A47D4B">
            <w:pPr>
              <w:spacing w:line="360" w:lineRule="auto"/>
              <w:rPr>
                <w:rFonts w:asciiTheme="minorHAnsi"/>
              </w:rPr>
            </w:pPr>
            <w:r>
              <w:rPr>
                <w:rFonts w:asciiTheme="minorHAnsi" w:eastAsia="Helvetica Neue" w:cs="Helvetica Neue"/>
                <w:color w:val="000000"/>
                <w:sz w:val="17"/>
              </w:rPr>
              <w:t>Alla data included</w:t>
            </w:r>
            <w:r w:rsidRPr="00E6691B">
              <w:rPr>
                <w:rFonts w:asciiTheme="minorHAnsi" w:eastAsia="Helvetica Neue" w:cs="Helvetica Neue"/>
                <w:color w:val="000000"/>
                <w:sz w:val="17"/>
              </w:rPr>
              <w:t xml:space="preserve"> </w:t>
            </w:r>
          </w:p>
        </w:tc>
      </w:tr>
      <w:tr w:rsidR="00A47D4B" w:rsidRPr="00E6691B" w14:paraId="2A35EE39" w14:textId="77777777" w:rsidTr="00A47D4B">
        <w:trPr>
          <w:cantSplit/>
          <w:tblCellSpacing w:w="0" w:type="dxa"/>
          <w:jc w:val="center"/>
        </w:trPr>
        <w:tc>
          <w:tcPr>
            <w:tcW w:w="0" w:type="auto"/>
            <w:tcBorders>
              <w:top w:val="single" w:sz="1" w:space="0" w:color="000000"/>
              <w:bottom w:val="single" w:sz="1" w:space="0" w:color="000000"/>
              <w:right w:val="single" w:sz="1" w:space="0" w:color="000000"/>
            </w:tcBorders>
          </w:tcPr>
          <w:p w14:paraId="2A35EE35" w14:textId="77777777" w:rsidR="00A47D4B" w:rsidRPr="00E6691B" w:rsidRDefault="00A47D4B" w:rsidP="00123B82">
            <w:pPr>
              <w:spacing w:line="360" w:lineRule="auto"/>
              <w:rPr>
                <w:rFonts w:asciiTheme="minorHAnsi"/>
              </w:rPr>
            </w:pPr>
            <w:bookmarkStart w:id="13" w:name="_Hlk230866115"/>
            <w:bookmarkEnd w:id="10"/>
            <w:r w:rsidRPr="00E6691B">
              <w:rPr>
                <w:rFonts w:asciiTheme="minorHAnsi" w:eastAsia="Helvetica Neue" w:cs="Helvetica Neue"/>
                <w:color w:val="000000"/>
                <w:sz w:val="17"/>
              </w:rPr>
              <w:t>Student engagements</w:t>
            </w:r>
            <w:bookmarkEnd w:id="13"/>
          </w:p>
        </w:tc>
        <w:tc>
          <w:tcPr>
            <w:tcW w:w="0" w:type="auto"/>
            <w:tcBorders>
              <w:top w:val="single" w:sz="1" w:space="0" w:color="000000"/>
              <w:bottom w:val="single" w:sz="1" w:space="0" w:color="000000"/>
              <w:right w:val="single" w:sz="1" w:space="0" w:color="000000"/>
            </w:tcBorders>
          </w:tcPr>
          <w:p w14:paraId="2A35EE36" w14:textId="643412B7" w:rsidR="00A47D4B" w:rsidRPr="00E6691B" w:rsidRDefault="00A47D4B" w:rsidP="00123B82">
            <w:pPr>
              <w:spacing w:line="360" w:lineRule="auto"/>
              <w:jc w:val="right"/>
              <w:rPr>
                <w:rFonts w:asciiTheme="minorHAnsi"/>
              </w:rPr>
            </w:pPr>
            <w:r w:rsidRPr="00E6691B">
              <w:rPr>
                <w:rFonts w:asciiTheme="minorHAnsi" w:eastAsia="Helvetica Neue" w:cs="Helvetica Neue"/>
                <w:color w:val="000000"/>
                <w:sz w:val="17"/>
              </w:rPr>
              <w:t xml:space="preserve">250 </w:t>
            </w:r>
          </w:p>
        </w:tc>
        <w:tc>
          <w:tcPr>
            <w:tcW w:w="0" w:type="auto"/>
            <w:tcBorders>
              <w:top w:val="single" w:sz="1" w:space="0" w:color="000000"/>
              <w:bottom w:val="single" w:sz="1" w:space="0" w:color="000000"/>
              <w:right w:val="single" w:sz="1" w:space="0" w:color="000000"/>
            </w:tcBorders>
          </w:tcPr>
          <w:p w14:paraId="2A35EE37" w14:textId="13F44225" w:rsidR="00A47D4B" w:rsidRPr="00E6691B" w:rsidRDefault="00A47D4B" w:rsidP="00123B82">
            <w:pPr>
              <w:spacing w:line="360" w:lineRule="auto"/>
              <w:jc w:val="right"/>
              <w:rPr>
                <w:rFonts w:asciiTheme="minorHAnsi"/>
              </w:rPr>
            </w:pPr>
            <w:bookmarkStart w:id="14" w:name="_Hlk230860613"/>
            <w:r>
              <w:rPr>
                <w:rFonts w:asciiTheme="minorHAnsi" w:eastAsia="Helvetica Neue" w:cs="Helvetica Neue"/>
                <w:color w:val="000000"/>
                <w:sz w:val="17"/>
              </w:rPr>
              <w:t>2294</w:t>
            </w:r>
            <w:bookmarkEnd w:id="14"/>
            <w:r w:rsidRPr="00E6691B">
              <w:rPr>
                <w:rFonts w:asciiTheme="minorHAnsi" w:eastAsia="Helvetica Neue" w:cs="Helvetica Neue"/>
                <w:color w:val="000000"/>
                <w:sz w:val="17"/>
              </w:rPr>
              <w:t xml:space="preserve"> </w:t>
            </w:r>
          </w:p>
        </w:tc>
        <w:tc>
          <w:tcPr>
            <w:tcW w:w="0" w:type="auto"/>
            <w:tcBorders>
              <w:top w:val="single" w:sz="2" w:space="0" w:color="000000"/>
              <w:bottom w:val="single" w:sz="2" w:space="0" w:color="000000"/>
              <w:right w:val="single" w:sz="4" w:space="0" w:color="auto"/>
            </w:tcBorders>
          </w:tcPr>
          <w:p w14:paraId="6FA97505" w14:textId="153596E9" w:rsidR="00A47D4B" w:rsidRDefault="005314C2" w:rsidP="00123B82">
            <w:pPr>
              <w:spacing w:line="360" w:lineRule="auto"/>
              <w:rPr>
                <w:rFonts w:asciiTheme="minorHAnsi" w:eastAsia="Helvetica Neue" w:cs="Helvetica Neue"/>
                <w:color w:val="000000"/>
                <w:sz w:val="17"/>
              </w:rPr>
            </w:pPr>
            <w:r>
              <w:rPr>
                <w:rFonts w:asciiTheme="minorHAnsi" w:eastAsia="Helvetica Neue" w:cs="Helvetica Neue"/>
                <w:color w:val="000000"/>
                <w:sz w:val="17"/>
              </w:rPr>
              <w:t>917,6%</w:t>
            </w:r>
          </w:p>
        </w:tc>
        <w:tc>
          <w:tcPr>
            <w:tcW w:w="0" w:type="auto"/>
            <w:tcBorders>
              <w:top w:val="single" w:sz="2" w:space="0" w:color="000000"/>
              <w:bottom w:val="single" w:sz="2" w:space="0" w:color="000000"/>
              <w:right w:val="single" w:sz="4" w:space="0" w:color="auto"/>
            </w:tcBorders>
          </w:tcPr>
          <w:p w14:paraId="09C75854" w14:textId="1FF4067C" w:rsidR="00A47D4B" w:rsidRPr="00E6691B" w:rsidRDefault="00A47D4B" w:rsidP="00123B82">
            <w:pPr>
              <w:spacing w:line="360" w:lineRule="auto"/>
              <w:rPr>
                <w:rFonts w:asciiTheme="minorHAnsi" w:eastAsia="Helvetica Neue" w:cs="Helvetica Neue"/>
                <w:color w:val="000000"/>
                <w:sz w:val="17"/>
              </w:rPr>
            </w:pPr>
            <w:r>
              <w:rPr>
                <w:rFonts w:asciiTheme="minorHAnsi" w:eastAsia="Helvetica Neue" w:cs="Helvetica Neue"/>
                <w:color w:val="000000"/>
                <w:sz w:val="17"/>
              </w:rPr>
              <w:t>Cyprus 120; Greece 1517</w:t>
            </w:r>
          </w:p>
        </w:tc>
        <w:tc>
          <w:tcPr>
            <w:tcW w:w="0" w:type="auto"/>
            <w:tcBorders>
              <w:top w:val="single" w:sz="1" w:space="0" w:color="000000"/>
              <w:bottom w:val="single" w:sz="1" w:space="0" w:color="000000"/>
            </w:tcBorders>
          </w:tcPr>
          <w:p w14:paraId="2A35EE38" w14:textId="2C4567BB" w:rsidR="00A47D4B" w:rsidRPr="00E6691B" w:rsidRDefault="00A47D4B" w:rsidP="00123B82">
            <w:pPr>
              <w:spacing w:line="360" w:lineRule="auto"/>
              <w:rPr>
                <w:rFonts w:asciiTheme="minorHAnsi"/>
              </w:rPr>
            </w:pPr>
            <w:r>
              <w:rPr>
                <w:rFonts w:asciiTheme="minorHAnsi" w:eastAsia="Helvetica Neue" w:cs="Helvetica Neue"/>
                <w:color w:val="000000"/>
                <w:sz w:val="17"/>
              </w:rPr>
              <w:t>Alla data included</w:t>
            </w:r>
            <w:r w:rsidRPr="00E6691B">
              <w:rPr>
                <w:rFonts w:asciiTheme="minorHAnsi" w:eastAsia="Helvetica Neue" w:cs="Helvetica Neue"/>
                <w:color w:val="000000"/>
                <w:sz w:val="17"/>
              </w:rPr>
              <w:t xml:space="preserve"> </w:t>
            </w:r>
          </w:p>
        </w:tc>
      </w:tr>
      <w:tr w:rsidR="00A47D4B" w:rsidRPr="00E6691B" w14:paraId="2A35EE3E" w14:textId="77777777" w:rsidTr="00A47D4B">
        <w:trPr>
          <w:cantSplit/>
          <w:tblCellSpacing w:w="0" w:type="dxa"/>
          <w:jc w:val="center"/>
        </w:trPr>
        <w:tc>
          <w:tcPr>
            <w:tcW w:w="0" w:type="auto"/>
            <w:tcBorders>
              <w:top w:val="single" w:sz="1" w:space="0" w:color="000000"/>
              <w:bottom w:val="single" w:sz="1" w:space="0" w:color="000000"/>
              <w:right w:val="single" w:sz="1" w:space="0" w:color="000000"/>
            </w:tcBorders>
          </w:tcPr>
          <w:p w14:paraId="2A35EE3A" w14:textId="77777777" w:rsidR="00A47D4B" w:rsidRPr="00E6691B" w:rsidRDefault="00A47D4B" w:rsidP="00123B82">
            <w:pPr>
              <w:spacing w:line="360" w:lineRule="auto"/>
              <w:rPr>
                <w:rFonts w:asciiTheme="minorHAnsi"/>
              </w:rPr>
            </w:pPr>
            <w:bookmarkStart w:id="15" w:name="_Hlk230866128"/>
            <w:r w:rsidRPr="00E6691B">
              <w:rPr>
                <w:rFonts w:asciiTheme="minorHAnsi" w:eastAsia="Helvetica Neue" w:cs="Helvetica Neue"/>
                <w:color w:val="000000"/>
                <w:sz w:val="17"/>
              </w:rPr>
              <w:t>WEEE collected</w:t>
            </w:r>
            <w:bookmarkEnd w:id="15"/>
          </w:p>
        </w:tc>
        <w:tc>
          <w:tcPr>
            <w:tcW w:w="0" w:type="auto"/>
            <w:tcBorders>
              <w:top w:val="single" w:sz="1" w:space="0" w:color="000000"/>
              <w:bottom w:val="single" w:sz="1" w:space="0" w:color="000000"/>
              <w:right w:val="single" w:sz="1" w:space="0" w:color="000000"/>
            </w:tcBorders>
          </w:tcPr>
          <w:p w14:paraId="2A35EE3B" w14:textId="56184010" w:rsidR="00A47D4B" w:rsidRPr="00E6691B" w:rsidRDefault="00A47D4B" w:rsidP="00123B82">
            <w:pPr>
              <w:spacing w:line="360" w:lineRule="auto"/>
              <w:jc w:val="right"/>
              <w:rPr>
                <w:rFonts w:asciiTheme="minorHAnsi"/>
              </w:rPr>
            </w:pPr>
            <w:r>
              <w:rPr>
                <w:rFonts w:asciiTheme="minorHAnsi" w:eastAsia="Helvetica Neue" w:cs="Helvetica Neue"/>
                <w:color w:val="000000"/>
                <w:sz w:val="17"/>
              </w:rPr>
              <w:t>1000</w:t>
            </w:r>
            <w:r w:rsidRPr="00E6691B">
              <w:rPr>
                <w:rFonts w:asciiTheme="minorHAnsi" w:eastAsia="Helvetica Neue" w:cs="Helvetica Neue"/>
                <w:color w:val="000000"/>
                <w:sz w:val="17"/>
              </w:rPr>
              <w:t xml:space="preserve"> </w:t>
            </w:r>
          </w:p>
        </w:tc>
        <w:tc>
          <w:tcPr>
            <w:tcW w:w="0" w:type="auto"/>
            <w:tcBorders>
              <w:top w:val="single" w:sz="1" w:space="0" w:color="000000"/>
              <w:bottom w:val="single" w:sz="1" w:space="0" w:color="000000"/>
              <w:right w:val="single" w:sz="1" w:space="0" w:color="000000"/>
            </w:tcBorders>
          </w:tcPr>
          <w:p w14:paraId="2A35EE3C" w14:textId="680F3AB9" w:rsidR="00A47D4B" w:rsidRPr="00E6691B" w:rsidRDefault="00A47D4B" w:rsidP="00123B82">
            <w:pPr>
              <w:spacing w:line="360" w:lineRule="auto"/>
              <w:jc w:val="right"/>
              <w:rPr>
                <w:rFonts w:asciiTheme="minorHAnsi"/>
              </w:rPr>
            </w:pPr>
            <w:bookmarkStart w:id="16" w:name="_Hlk230860632"/>
            <w:r>
              <w:rPr>
                <w:rFonts w:asciiTheme="minorHAnsi" w:eastAsia="Helvetica Neue" w:cs="Helvetica Neue"/>
                <w:color w:val="000000"/>
                <w:sz w:val="17"/>
              </w:rPr>
              <w:t>3150</w:t>
            </w:r>
            <w:bookmarkEnd w:id="16"/>
          </w:p>
        </w:tc>
        <w:tc>
          <w:tcPr>
            <w:tcW w:w="0" w:type="auto"/>
            <w:tcBorders>
              <w:top w:val="single" w:sz="2" w:space="0" w:color="000000"/>
              <w:bottom w:val="single" w:sz="2" w:space="0" w:color="000000"/>
              <w:right w:val="single" w:sz="4" w:space="0" w:color="auto"/>
            </w:tcBorders>
          </w:tcPr>
          <w:p w14:paraId="178D28B8" w14:textId="62B0CDF0" w:rsidR="005314C2" w:rsidRDefault="005314C2" w:rsidP="00123B82">
            <w:pPr>
              <w:spacing w:line="360" w:lineRule="auto"/>
              <w:rPr>
                <w:rFonts w:asciiTheme="minorHAnsi" w:eastAsia="Helvetica Neue" w:cs="Helvetica Neue"/>
                <w:color w:val="000000"/>
                <w:sz w:val="17"/>
              </w:rPr>
            </w:pPr>
            <w:r>
              <w:rPr>
                <w:rFonts w:asciiTheme="minorHAnsi" w:eastAsia="Helvetica Neue" w:cs="Helvetica Neue"/>
                <w:color w:val="000000"/>
                <w:sz w:val="17"/>
              </w:rPr>
              <w:t>315%</w:t>
            </w:r>
          </w:p>
        </w:tc>
        <w:tc>
          <w:tcPr>
            <w:tcW w:w="0" w:type="auto"/>
            <w:tcBorders>
              <w:top w:val="single" w:sz="2" w:space="0" w:color="000000"/>
              <w:bottom w:val="single" w:sz="2" w:space="0" w:color="000000"/>
              <w:right w:val="single" w:sz="4" w:space="0" w:color="auto"/>
            </w:tcBorders>
          </w:tcPr>
          <w:p w14:paraId="6A2BA148" w14:textId="1F90F82A" w:rsidR="00A47D4B" w:rsidRPr="00E6691B" w:rsidRDefault="00A47D4B" w:rsidP="00123B82">
            <w:pPr>
              <w:spacing w:line="360" w:lineRule="auto"/>
              <w:rPr>
                <w:rFonts w:asciiTheme="minorHAnsi" w:eastAsia="Helvetica Neue" w:cs="Helvetica Neue"/>
                <w:color w:val="000000"/>
                <w:sz w:val="17"/>
              </w:rPr>
            </w:pPr>
            <w:r>
              <w:rPr>
                <w:rFonts w:asciiTheme="minorHAnsi" w:eastAsia="Helvetica Neue" w:cs="Helvetica Neue"/>
                <w:color w:val="000000"/>
                <w:sz w:val="17"/>
              </w:rPr>
              <w:t>Spain 65; Greece 2188</w:t>
            </w:r>
          </w:p>
        </w:tc>
        <w:tc>
          <w:tcPr>
            <w:tcW w:w="0" w:type="auto"/>
            <w:tcBorders>
              <w:top w:val="single" w:sz="1" w:space="0" w:color="000000"/>
              <w:bottom w:val="single" w:sz="1" w:space="0" w:color="000000"/>
            </w:tcBorders>
          </w:tcPr>
          <w:p w14:paraId="2A35EE3D" w14:textId="6FBCA660" w:rsidR="00A47D4B" w:rsidRPr="00E6691B" w:rsidRDefault="00A47D4B" w:rsidP="00123B82">
            <w:pPr>
              <w:spacing w:line="360" w:lineRule="auto"/>
              <w:rPr>
                <w:rFonts w:asciiTheme="minorHAnsi"/>
              </w:rPr>
            </w:pPr>
            <w:r>
              <w:rPr>
                <w:rFonts w:asciiTheme="minorHAnsi" w:eastAsia="Helvetica Neue" w:cs="Helvetica Neue"/>
                <w:color w:val="000000"/>
                <w:sz w:val="17"/>
              </w:rPr>
              <w:t>Alla data included</w:t>
            </w:r>
            <w:r w:rsidRPr="00E6691B">
              <w:rPr>
                <w:rFonts w:asciiTheme="minorHAnsi" w:eastAsia="Helvetica Neue" w:cs="Helvetica Neue"/>
                <w:color w:val="000000"/>
                <w:sz w:val="17"/>
              </w:rPr>
              <w:t xml:space="preserve"> </w:t>
            </w:r>
          </w:p>
        </w:tc>
      </w:tr>
      <w:tr w:rsidR="00A47D4B" w:rsidRPr="00E6691B" w14:paraId="2A35EE43" w14:textId="77777777" w:rsidTr="00A47D4B">
        <w:trPr>
          <w:cantSplit/>
          <w:tblCellSpacing w:w="0" w:type="dxa"/>
          <w:jc w:val="center"/>
        </w:trPr>
        <w:tc>
          <w:tcPr>
            <w:tcW w:w="0" w:type="auto"/>
            <w:tcBorders>
              <w:top w:val="single" w:sz="1" w:space="0" w:color="000000"/>
              <w:bottom w:val="single" w:sz="1" w:space="0" w:color="000000"/>
              <w:right w:val="single" w:sz="1" w:space="0" w:color="000000"/>
            </w:tcBorders>
          </w:tcPr>
          <w:p w14:paraId="2A35EE3F" w14:textId="77777777" w:rsidR="00A47D4B" w:rsidRPr="00E6691B" w:rsidRDefault="00A47D4B" w:rsidP="00123B82">
            <w:pPr>
              <w:spacing w:line="360" w:lineRule="auto"/>
              <w:rPr>
                <w:rFonts w:asciiTheme="minorHAnsi"/>
              </w:rPr>
            </w:pPr>
            <w:r w:rsidRPr="00E6691B">
              <w:rPr>
                <w:rFonts w:asciiTheme="minorHAnsi" w:eastAsia="Helvetica Neue" w:cs="Helvetica Neue"/>
                <w:color w:val="000000"/>
                <w:sz w:val="17"/>
              </w:rPr>
              <w:t>Participating classes</w:t>
            </w:r>
          </w:p>
        </w:tc>
        <w:tc>
          <w:tcPr>
            <w:tcW w:w="0" w:type="auto"/>
            <w:tcBorders>
              <w:top w:val="single" w:sz="1" w:space="0" w:color="000000"/>
              <w:bottom w:val="single" w:sz="1" w:space="0" w:color="000000"/>
              <w:right w:val="single" w:sz="1" w:space="0" w:color="000000"/>
            </w:tcBorders>
          </w:tcPr>
          <w:p w14:paraId="2A35EE40" w14:textId="1CC7D062" w:rsidR="00A47D4B" w:rsidRPr="00E6691B" w:rsidRDefault="00A47D4B" w:rsidP="00123B82">
            <w:pPr>
              <w:spacing w:line="360" w:lineRule="auto"/>
              <w:jc w:val="right"/>
              <w:rPr>
                <w:rFonts w:asciiTheme="minorHAnsi"/>
              </w:rPr>
            </w:pPr>
            <w:r w:rsidRPr="00E6691B">
              <w:rPr>
                <w:rFonts w:asciiTheme="minorHAnsi" w:eastAsia="Helvetica Neue" w:cs="Helvetica Neue"/>
                <w:color w:val="000000"/>
                <w:sz w:val="17"/>
              </w:rPr>
              <w:t xml:space="preserve">50 </w:t>
            </w:r>
          </w:p>
        </w:tc>
        <w:tc>
          <w:tcPr>
            <w:tcW w:w="0" w:type="auto"/>
            <w:tcBorders>
              <w:top w:val="single" w:sz="1" w:space="0" w:color="000000"/>
              <w:bottom w:val="single" w:sz="1" w:space="0" w:color="000000"/>
              <w:right w:val="single" w:sz="1" w:space="0" w:color="000000"/>
            </w:tcBorders>
          </w:tcPr>
          <w:p w14:paraId="2A35EE41" w14:textId="148CBAF5" w:rsidR="00A47D4B" w:rsidRPr="00E6691B" w:rsidRDefault="00A47D4B" w:rsidP="00123B82">
            <w:pPr>
              <w:spacing w:line="360" w:lineRule="auto"/>
              <w:jc w:val="right"/>
              <w:rPr>
                <w:rFonts w:asciiTheme="minorHAnsi"/>
              </w:rPr>
            </w:pPr>
            <w:r>
              <w:rPr>
                <w:rFonts w:asciiTheme="minorHAnsi" w:eastAsia="Helvetica Neue" w:cs="Helvetica Neue"/>
                <w:color w:val="000000"/>
                <w:sz w:val="17"/>
              </w:rPr>
              <w:t>171</w:t>
            </w:r>
          </w:p>
        </w:tc>
        <w:tc>
          <w:tcPr>
            <w:tcW w:w="0" w:type="auto"/>
            <w:tcBorders>
              <w:top w:val="single" w:sz="2" w:space="0" w:color="000000"/>
              <w:bottom w:val="single" w:sz="2" w:space="0" w:color="000000"/>
              <w:right w:val="single" w:sz="4" w:space="0" w:color="auto"/>
            </w:tcBorders>
          </w:tcPr>
          <w:p w14:paraId="2AF36ABF" w14:textId="5FABEF4B" w:rsidR="00A47D4B" w:rsidRDefault="00E33BAC" w:rsidP="00123B82">
            <w:pPr>
              <w:spacing w:line="360" w:lineRule="auto"/>
              <w:rPr>
                <w:rFonts w:asciiTheme="minorHAnsi" w:eastAsia="Helvetica Neue" w:cs="Helvetica Neue"/>
                <w:color w:val="000000"/>
                <w:sz w:val="17"/>
              </w:rPr>
            </w:pPr>
            <w:r>
              <w:rPr>
                <w:rFonts w:asciiTheme="minorHAnsi" w:eastAsia="Helvetica Neue" w:cs="Helvetica Neue"/>
                <w:color w:val="000000"/>
                <w:sz w:val="17"/>
              </w:rPr>
              <w:t>342%</w:t>
            </w:r>
          </w:p>
        </w:tc>
        <w:tc>
          <w:tcPr>
            <w:tcW w:w="0" w:type="auto"/>
            <w:tcBorders>
              <w:top w:val="single" w:sz="2" w:space="0" w:color="000000"/>
              <w:bottom w:val="single" w:sz="2" w:space="0" w:color="000000"/>
              <w:right w:val="single" w:sz="4" w:space="0" w:color="auto"/>
            </w:tcBorders>
          </w:tcPr>
          <w:p w14:paraId="2C576CEF" w14:textId="2A30BDF0" w:rsidR="00A47D4B" w:rsidRPr="00E6691B" w:rsidRDefault="00A47D4B" w:rsidP="00123B82">
            <w:pPr>
              <w:spacing w:line="360" w:lineRule="auto"/>
              <w:rPr>
                <w:rFonts w:asciiTheme="minorHAnsi" w:eastAsia="Helvetica Neue" w:cs="Helvetica Neue"/>
                <w:color w:val="000000"/>
                <w:sz w:val="17"/>
              </w:rPr>
            </w:pPr>
            <w:r>
              <w:rPr>
                <w:rFonts w:asciiTheme="minorHAnsi" w:eastAsia="Helvetica Neue" w:cs="Helvetica Neue"/>
                <w:color w:val="000000"/>
                <w:sz w:val="17"/>
              </w:rPr>
              <w:t>Cyprus 6; Greece 99</w:t>
            </w:r>
          </w:p>
        </w:tc>
        <w:tc>
          <w:tcPr>
            <w:tcW w:w="0" w:type="auto"/>
            <w:tcBorders>
              <w:top w:val="single" w:sz="1" w:space="0" w:color="000000"/>
              <w:bottom w:val="single" w:sz="1" w:space="0" w:color="000000"/>
            </w:tcBorders>
          </w:tcPr>
          <w:p w14:paraId="2A35EE42" w14:textId="503C77E8" w:rsidR="00A47D4B" w:rsidRPr="00E6691B" w:rsidRDefault="00A47D4B" w:rsidP="00123B82">
            <w:pPr>
              <w:spacing w:line="360" w:lineRule="auto"/>
              <w:rPr>
                <w:rFonts w:asciiTheme="minorHAnsi"/>
              </w:rPr>
            </w:pPr>
            <w:r>
              <w:rPr>
                <w:rFonts w:asciiTheme="minorHAnsi" w:eastAsia="Helvetica Neue" w:cs="Helvetica Neue"/>
                <w:color w:val="000000"/>
                <w:sz w:val="17"/>
              </w:rPr>
              <w:t>Alla data included</w:t>
            </w:r>
            <w:r w:rsidRPr="00E6691B">
              <w:rPr>
                <w:rFonts w:asciiTheme="minorHAnsi" w:eastAsia="Helvetica Neue" w:cs="Helvetica Neue"/>
                <w:color w:val="000000"/>
                <w:sz w:val="17"/>
              </w:rPr>
              <w:t xml:space="preserve"> </w:t>
            </w:r>
          </w:p>
        </w:tc>
      </w:tr>
      <w:tr w:rsidR="00A47D4B" w:rsidRPr="00E6691B" w14:paraId="2A35EE48" w14:textId="77777777" w:rsidTr="00A47D4B">
        <w:trPr>
          <w:cantSplit/>
          <w:tblCellSpacing w:w="0" w:type="dxa"/>
          <w:jc w:val="center"/>
        </w:trPr>
        <w:tc>
          <w:tcPr>
            <w:tcW w:w="0" w:type="auto"/>
            <w:tcBorders>
              <w:top w:val="single" w:sz="1" w:space="0" w:color="000000"/>
              <w:bottom w:val="single" w:sz="1" w:space="0" w:color="000000"/>
              <w:right w:val="single" w:sz="1" w:space="0" w:color="000000"/>
            </w:tcBorders>
          </w:tcPr>
          <w:p w14:paraId="2A35EE44" w14:textId="77777777" w:rsidR="00A47D4B" w:rsidRPr="00E6691B" w:rsidRDefault="00A47D4B" w:rsidP="00123B82">
            <w:pPr>
              <w:spacing w:line="360" w:lineRule="auto"/>
              <w:rPr>
                <w:rFonts w:asciiTheme="minorHAnsi"/>
              </w:rPr>
            </w:pPr>
            <w:r w:rsidRPr="00E6691B">
              <w:rPr>
                <w:rFonts w:asciiTheme="minorHAnsi" w:eastAsia="Helvetica Neue" w:cs="Helvetica Neue"/>
                <w:color w:val="000000"/>
                <w:sz w:val="17"/>
              </w:rPr>
              <w:t>Teacher involvement</w:t>
            </w:r>
          </w:p>
        </w:tc>
        <w:tc>
          <w:tcPr>
            <w:tcW w:w="0" w:type="auto"/>
            <w:tcBorders>
              <w:top w:val="single" w:sz="1" w:space="0" w:color="000000"/>
              <w:bottom w:val="single" w:sz="1" w:space="0" w:color="000000"/>
              <w:right w:val="single" w:sz="1" w:space="0" w:color="000000"/>
            </w:tcBorders>
          </w:tcPr>
          <w:p w14:paraId="2A35EE45" w14:textId="28C457BE" w:rsidR="00A47D4B" w:rsidRPr="00E6691B" w:rsidRDefault="00A47D4B" w:rsidP="00123B82">
            <w:pPr>
              <w:spacing w:line="360" w:lineRule="auto"/>
              <w:jc w:val="right"/>
              <w:rPr>
                <w:rFonts w:asciiTheme="minorHAnsi"/>
              </w:rPr>
            </w:pPr>
            <w:r w:rsidRPr="00E6691B">
              <w:rPr>
                <w:rFonts w:asciiTheme="minorHAnsi" w:eastAsia="Helvetica Neue" w:cs="Helvetica Neue"/>
                <w:color w:val="000000"/>
                <w:sz w:val="17"/>
              </w:rPr>
              <w:t xml:space="preserve">50 </w:t>
            </w:r>
          </w:p>
        </w:tc>
        <w:tc>
          <w:tcPr>
            <w:tcW w:w="0" w:type="auto"/>
            <w:tcBorders>
              <w:top w:val="single" w:sz="1" w:space="0" w:color="000000"/>
              <w:bottom w:val="single" w:sz="1" w:space="0" w:color="000000"/>
              <w:right w:val="single" w:sz="1" w:space="0" w:color="000000"/>
            </w:tcBorders>
          </w:tcPr>
          <w:p w14:paraId="2A35EE46" w14:textId="2FD02BD6" w:rsidR="00A47D4B" w:rsidRPr="00E6691B" w:rsidRDefault="00A47D4B" w:rsidP="00123B82">
            <w:pPr>
              <w:spacing w:line="360" w:lineRule="auto"/>
              <w:jc w:val="right"/>
              <w:rPr>
                <w:rFonts w:asciiTheme="minorHAnsi"/>
              </w:rPr>
            </w:pPr>
            <w:r>
              <w:rPr>
                <w:rFonts w:asciiTheme="minorHAnsi" w:eastAsia="Helvetica Neue" w:cs="Helvetica Neue"/>
                <w:color w:val="000000"/>
                <w:sz w:val="17"/>
              </w:rPr>
              <w:t>204</w:t>
            </w:r>
            <w:r w:rsidRPr="00E6691B">
              <w:rPr>
                <w:rFonts w:asciiTheme="minorHAnsi" w:eastAsia="Helvetica Neue" w:cs="Helvetica Neue"/>
                <w:color w:val="000000"/>
                <w:sz w:val="17"/>
              </w:rPr>
              <w:t xml:space="preserve"> </w:t>
            </w:r>
          </w:p>
        </w:tc>
        <w:tc>
          <w:tcPr>
            <w:tcW w:w="0" w:type="auto"/>
            <w:tcBorders>
              <w:top w:val="single" w:sz="2" w:space="0" w:color="000000"/>
              <w:bottom w:val="single" w:sz="2" w:space="0" w:color="000000"/>
              <w:right w:val="single" w:sz="4" w:space="0" w:color="auto"/>
            </w:tcBorders>
          </w:tcPr>
          <w:p w14:paraId="3FEC4E63" w14:textId="11AB4F9B" w:rsidR="00A47D4B" w:rsidRDefault="007F03BB" w:rsidP="00123B82">
            <w:pPr>
              <w:spacing w:line="360" w:lineRule="auto"/>
              <w:rPr>
                <w:rFonts w:asciiTheme="minorHAnsi" w:eastAsia="Helvetica Neue" w:cs="Helvetica Neue"/>
                <w:color w:val="000000"/>
                <w:sz w:val="17"/>
              </w:rPr>
            </w:pPr>
            <w:r>
              <w:rPr>
                <w:rFonts w:asciiTheme="minorHAnsi" w:eastAsia="Helvetica Neue" w:cs="Helvetica Neue"/>
                <w:color w:val="000000"/>
                <w:sz w:val="17"/>
              </w:rPr>
              <w:t>408%</w:t>
            </w:r>
          </w:p>
        </w:tc>
        <w:tc>
          <w:tcPr>
            <w:tcW w:w="0" w:type="auto"/>
            <w:tcBorders>
              <w:top w:val="single" w:sz="2" w:space="0" w:color="000000"/>
              <w:bottom w:val="single" w:sz="2" w:space="0" w:color="000000"/>
              <w:right w:val="single" w:sz="4" w:space="0" w:color="auto"/>
            </w:tcBorders>
          </w:tcPr>
          <w:p w14:paraId="3CBD9356" w14:textId="69AA28CE" w:rsidR="00A47D4B" w:rsidRPr="00E6691B" w:rsidRDefault="00A47D4B" w:rsidP="00123B82">
            <w:pPr>
              <w:spacing w:line="360" w:lineRule="auto"/>
              <w:rPr>
                <w:rFonts w:asciiTheme="minorHAnsi" w:eastAsia="Helvetica Neue" w:cs="Helvetica Neue"/>
                <w:color w:val="000000"/>
                <w:sz w:val="17"/>
              </w:rPr>
            </w:pPr>
            <w:r>
              <w:rPr>
                <w:rFonts w:asciiTheme="minorHAnsi" w:eastAsia="Helvetica Neue" w:cs="Helvetica Neue"/>
                <w:color w:val="000000"/>
                <w:sz w:val="17"/>
              </w:rPr>
              <w:t>Cyprus 7; Greece 127</w:t>
            </w:r>
          </w:p>
        </w:tc>
        <w:tc>
          <w:tcPr>
            <w:tcW w:w="0" w:type="auto"/>
            <w:tcBorders>
              <w:top w:val="single" w:sz="1" w:space="0" w:color="000000"/>
              <w:bottom w:val="single" w:sz="1" w:space="0" w:color="000000"/>
            </w:tcBorders>
          </w:tcPr>
          <w:p w14:paraId="2A35EE47" w14:textId="1D008446" w:rsidR="00A47D4B" w:rsidRPr="00E6691B" w:rsidRDefault="00A47D4B" w:rsidP="00123B82">
            <w:pPr>
              <w:spacing w:line="360" w:lineRule="auto"/>
              <w:rPr>
                <w:rFonts w:asciiTheme="minorHAnsi"/>
              </w:rPr>
            </w:pPr>
            <w:r>
              <w:rPr>
                <w:rFonts w:asciiTheme="minorHAnsi" w:eastAsia="Helvetica Neue" w:cs="Helvetica Neue"/>
                <w:color w:val="000000"/>
                <w:sz w:val="17"/>
              </w:rPr>
              <w:t>Alla data included</w:t>
            </w:r>
            <w:r w:rsidRPr="00E6691B">
              <w:rPr>
                <w:rFonts w:asciiTheme="minorHAnsi" w:eastAsia="Helvetica Neue" w:cs="Helvetica Neue"/>
                <w:color w:val="000000"/>
                <w:sz w:val="17"/>
              </w:rPr>
              <w:t xml:space="preserve"> </w:t>
            </w:r>
          </w:p>
        </w:tc>
      </w:tr>
    </w:tbl>
    <w:p w14:paraId="2A35EE49" w14:textId="77777777" w:rsidR="00716BE6" w:rsidRPr="00E6691B" w:rsidRDefault="00716BE6">
      <w:pPr>
        <w:rPr>
          <w:rFonts w:asciiTheme="minorHAnsi"/>
        </w:rPr>
      </w:pPr>
    </w:p>
    <w:p w14:paraId="2A35EE4A" w14:textId="77777777" w:rsidR="00716BE6" w:rsidRPr="00E6691B" w:rsidRDefault="005A1987">
      <w:pPr>
        <w:spacing w:before="315" w:after="105" w:line="360" w:lineRule="auto"/>
        <w:ind w:left="-30"/>
        <w:rPr>
          <w:rFonts w:asciiTheme="minorHAnsi"/>
        </w:rPr>
      </w:pPr>
      <w:bookmarkStart w:id="17" w:name="interpretation_of_results"/>
      <w:r w:rsidRPr="00E6691B">
        <w:rPr>
          <w:rFonts w:asciiTheme="minorHAnsi" w:eastAsia="Georgia" w:cs="Georgia"/>
          <w:b/>
          <w:color w:val="000000"/>
          <w:sz w:val="24"/>
        </w:rPr>
        <w:t>Interpretation of results</w:t>
      </w:r>
      <w:bookmarkEnd w:id="17"/>
    </w:p>
    <w:p w14:paraId="2A35EE4B" w14:textId="573C2618" w:rsidR="00716BE6" w:rsidRPr="00E6691B" w:rsidRDefault="005A1987">
      <w:pPr>
        <w:spacing w:after="210" w:line="360" w:lineRule="auto"/>
        <w:rPr>
          <w:rFonts w:asciiTheme="minorHAnsi"/>
        </w:rPr>
      </w:pPr>
      <w:r w:rsidRPr="00E6691B">
        <w:rPr>
          <w:rFonts w:asciiTheme="minorHAnsi" w:eastAsia="Georgia" w:cs="Georgia"/>
          <w:color w:val="000000"/>
        </w:rPr>
        <w:t xml:space="preserve">The pilots exceeded the common target values by a wide margin for school participation, student engagement, and teacher involvement, which confirms that WEEE BEHAVE is highly effective as a school-based </w:t>
      </w:r>
      <w:proofErr w:type="spellStart"/>
      <w:r w:rsidRPr="00E6691B">
        <w:rPr>
          <w:rFonts w:asciiTheme="minorHAnsi" w:eastAsia="Georgia" w:cs="Georgia"/>
          <w:color w:val="000000"/>
        </w:rPr>
        <w:t>mobilisation</w:t>
      </w:r>
      <w:proofErr w:type="spellEnd"/>
      <w:r w:rsidRPr="00E6691B">
        <w:rPr>
          <w:rFonts w:asciiTheme="minorHAnsi" w:eastAsia="Georgia" w:cs="Georgia"/>
          <w:color w:val="000000"/>
        </w:rPr>
        <w:t xml:space="preserve"> model. </w:t>
      </w:r>
      <w:bookmarkStart w:id="18" w:name="_Hlk230868910"/>
      <w:r w:rsidR="00AE6F0F">
        <w:rPr>
          <w:rFonts w:asciiTheme="minorHAnsi" w:eastAsia="Georgia" w:cs="Georgia"/>
          <w:color w:val="000000"/>
        </w:rPr>
        <w:t>The</w:t>
      </w:r>
      <w:r w:rsidRPr="00E6691B">
        <w:rPr>
          <w:rFonts w:asciiTheme="minorHAnsi" w:eastAsia="Georgia" w:cs="Georgia"/>
          <w:color w:val="000000"/>
        </w:rPr>
        <w:t xml:space="preserve"> results indicate strong educational reach and a capacity to activate large numbers of pupils and schools in different territorial settings</w:t>
      </w:r>
      <w:bookmarkEnd w:id="18"/>
      <w:r w:rsidRPr="00E6691B">
        <w:rPr>
          <w:rFonts w:asciiTheme="minorHAnsi" w:eastAsia="Georgia" w:cs="Georgia"/>
          <w:color w:val="000000"/>
        </w:rPr>
        <w:t>.</w:t>
      </w:r>
    </w:p>
    <w:p w14:paraId="2A35EE4C" w14:textId="50A3A6DF" w:rsidR="00716BE6" w:rsidRPr="00E6691B" w:rsidRDefault="005A1987">
      <w:pPr>
        <w:spacing w:after="210" w:line="360" w:lineRule="auto"/>
        <w:rPr>
          <w:rFonts w:asciiTheme="minorHAnsi"/>
        </w:rPr>
      </w:pPr>
      <w:r w:rsidRPr="00E6691B">
        <w:rPr>
          <w:rFonts w:asciiTheme="minorHAnsi" w:eastAsia="Georgia" w:cs="Georgia"/>
          <w:color w:val="000000"/>
        </w:rPr>
        <w:t xml:space="preserve">Collection performance is also positive, but the revised draft suggests that local KPIs may not always have been counted with identical scope across territories. Some pilots included broader public interaction or multi-phase campaigns, while others focused on schools only, so the aggregate should be treated as a consolidated project value rather than a strictly comparable sum of identical local </w:t>
      </w:r>
      <w:proofErr w:type="gramStart"/>
      <w:r w:rsidRPr="00E6691B">
        <w:rPr>
          <w:rFonts w:asciiTheme="minorHAnsi" w:eastAsia="Georgia" w:cs="Georgia"/>
          <w:color w:val="000000"/>
        </w:rPr>
        <w:t>indicators .</w:t>
      </w:r>
      <w:proofErr w:type="gramEnd"/>
    </w:p>
    <w:p w14:paraId="2A35EE4D" w14:textId="77777777" w:rsidR="00716BE6" w:rsidRPr="00E6691B" w:rsidRDefault="005A1987">
      <w:pPr>
        <w:spacing w:before="315" w:after="105" w:line="360" w:lineRule="auto"/>
        <w:ind w:left="-30"/>
        <w:rPr>
          <w:rFonts w:asciiTheme="minorHAnsi"/>
        </w:rPr>
      </w:pPr>
      <w:bookmarkStart w:id="19" w:name="bm_4_critical_success_factors_and_a9c5f2"/>
      <w:r w:rsidRPr="00E6691B">
        <w:rPr>
          <w:rFonts w:asciiTheme="minorHAnsi" w:eastAsia="Georgia" w:cs="Georgia"/>
          <w:b/>
          <w:color w:val="000000"/>
          <w:sz w:val="24"/>
        </w:rPr>
        <w:t>4. Critical success factors and lessons learned</w:t>
      </w:r>
      <w:bookmarkEnd w:id="19"/>
    </w:p>
    <w:p w14:paraId="2A35EE4E" w14:textId="77777777" w:rsidR="00716BE6" w:rsidRPr="00E6691B" w:rsidRDefault="005A1987">
      <w:pPr>
        <w:spacing w:before="315" w:after="105" w:line="360" w:lineRule="auto"/>
        <w:ind w:left="-30"/>
        <w:rPr>
          <w:rFonts w:asciiTheme="minorHAnsi"/>
        </w:rPr>
      </w:pPr>
      <w:bookmarkStart w:id="20" w:name="bm_4_1_what_worked_best"/>
      <w:r w:rsidRPr="00E6691B">
        <w:rPr>
          <w:rFonts w:asciiTheme="minorHAnsi" w:eastAsia="Georgia" w:cs="Georgia"/>
          <w:b/>
          <w:color w:val="000000"/>
          <w:sz w:val="24"/>
        </w:rPr>
        <w:t>4.1 What worked best</w:t>
      </w:r>
      <w:bookmarkEnd w:id="20"/>
    </w:p>
    <w:p w14:paraId="2A35EE4F" w14:textId="31458B49" w:rsidR="00716BE6" w:rsidRPr="00E6691B" w:rsidRDefault="005A1987">
      <w:pPr>
        <w:numPr>
          <w:ilvl w:val="0"/>
          <w:numId w:val="3"/>
        </w:numPr>
        <w:spacing w:after="210" w:line="360" w:lineRule="auto"/>
        <w:rPr>
          <w:rFonts w:asciiTheme="minorHAnsi"/>
        </w:rPr>
      </w:pPr>
      <w:r w:rsidRPr="00E6691B">
        <w:rPr>
          <w:rFonts w:asciiTheme="minorHAnsi" w:eastAsia="Georgia" w:cs="Georgia"/>
          <w:b/>
          <w:color w:val="000000"/>
        </w:rPr>
        <w:lastRenderedPageBreak/>
        <w:t>Age-appropriate educational design.</w:t>
      </w:r>
      <w:r w:rsidRPr="00E6691B">
        <w:rPr>
          <w:rFonts w:asciiTheme="minorHAnsi" w:eastAsia="Georgia" w:cs="Georgia"/>
          <w:color w:val="000000"/>
        </w:rPr>
        <w:t xml:space="preserve"> Across pilots, educational activities were more effective when they were interactive, practical, and specifically tailored to children. This helped pupils understand what WEEE is, why it matters, and how to behave correctly, while also increasing retention and active </w:t>
      </w:r>
      <w:proofErr w:type="gramStart"/>
      <w:r w:rsidRPr="00E6691B">
        <w:rPr>
          <w:rFonts w:asciiTheme="minorHAnsi" w:eastAsia="Georgia" w:cs="Georgia"/>
          <w:color w:val="000000"/>
        </w:rPr>
        <w:t>participation .</w:t>
      </w:r>
      <w:proofErr w:type="gramEnd"/>
    </w:p>
    <w:p w14:paraId="2A35EE50" w14:textId="53FD33EE" w:rsidR="00716BE6" w:rsidRPr="00E6691B" w:rsidRDefault="005A1987">
      <w:pPr>
        <w:numPr>
          <w:ilvl w:val="0"/>
          <w:numId w:val="3"/>
        </w:numPr>
        <w:spacing w:after="210" w:line="360" w:lineRule="auto"/>
        <w:rPr>
          <w:rFonts w:asciiTheme="minorHAnsi"/>
        </w:rPr>
      </w:pPr>
      <w:r w:rsidRPr="00E6691B">
        <w:rPr>
          <w:rFonts w:asciiTheme="minorHAnsi" w:eastAsia="Georgia" w:cs="Georgia"/>
          <w:b/>
          <w:color w:val="000000"/>
        </w:rPr>
        <w:t>Competition and recognition.</w:t>
      </w:r>
      <w:r w:rsidRPr="00E6691B">
        <w:rPr>
          <w:rFonts w:asciiTheme="minorHAnsi" w:eastAsia="Georgia" w:cs="Georgia"/>
          <w:color w:val="000000"/>
        </w:rPr>
        <w:t xml:space="preserve"> Competitions between classes or schools proved to be a strong motivational factor. They gave visibility to participation, created momentum inside schools, and helped translate environmental awareness into repeated action and </w:t>
      </w:r>
      <w:proofErr w:type="gramStart"/>
      <w:r w:rsidRPr="00E6691B">
        <w:rPr>
          <w:rFonts w:asciiTheme="minorHAnsi" w:eastAsia="Georgia" w:cs="Georgia"/>
          <w:color w:val="000000"/>
        </w:rPr>
        <w:t>engagement .</w:t>
      </w:r>
      <w:proofErr w:type="gramEnd"/>
    </w:p>
    <w:p w14:paraId="2A35EE51" w14:textId="33BE0515" w:rsidR="00716BE6" w:rsidRPr="00E6691B" w:rsidRDefault="005A1987">
      <w:pPr>
        <w:numPr>
          <w:ilvl w:val="0"/>
          <w:numId w:val="3"/>
        </w:numPr>
        <w:spacing w:after="210" w:line="360" w:lineRule="auto"/>
        <w:rPr>
          <w:rFonts w:asciiTheme="minorHAnsi"/>
        </w:rPr>
      </w:pPr>
      <w:r w:rsidRPr="00E6691B">
        <w:rPr>
          <w:rFonts w:asciiTheme="minorHAnsi" w:eastAsia="Georgia" w:cs="Georgia"/>
          <w:b/>
          <w:color w:val="000000"/>
        </w:rPr>
        <w:t>Gamification and creative formats.</w:t>
      </w:r>
      <w:r w:rsidRPr="00E6691B">
        <w:rPr>
          <w:rFonts w:asciiTheme="minorHAnsi" w:eastAsia="Georgia" w:cs="Georgia"/>
          <w:color w:val="000000"/>
        </w:rPr>
        <w:t xml:space="preserve"> Games, city activities, arts-based tasks, mascots, and playful workshop formats made the solution more memorable and transferable. These elements were not secondary decoration but central tools for behavioral activation and family </w:t>
      </w:r>
      <w:proofErr w:type="gramStart"/>
      <w:r w:rsidRPr="00E6691B">
        <w:rPr>
          <w:rFonts w:asciiTheme="minorHAnsi" w:eastAsia="Georgia" w:cs="Georgia"/>
          <w:color w:val="000000"/>
        </w:rPr>
        <w:t>outreach .</w:t>
      </w:r>
      <w:proofErr w:type="gramEnd"/>
    </w:p>
    <w:p w14:paraId="2A35EE52" w14:textId="1BD5C562" w:rsidR="00716BE6" w:rsidRPr="00E6691B" w:rsidRDefault="005A1987">
      <w:pPr>
        <w:numPr>
          <w:ilvl w:val="0"/>
          <w:numId w:val="3"/>
        </w:numPr>
        <w:spacing w:after="210" w:line="360" w:lineRule="auto"/>
        <w:rPr>
          <w:rFonts w:asciiTheme="minorHAnsi"/>
        </w:rPr>
      </w:pPr>
      <w:r w:rsidRPr="00E6691B">
        <w:rPr>
          <w:rFonts w:asciiTheme="minorHAnsi" w:eastAsia="Georgia" w:cs="Georgia"/>
          <w:b/>
          <w:color w:val="000000"/>
        </w:rPr>
        <w:t>Children as multipliers toward households.</w:t>
      </w:r>
      <w:r w:rsidRPr="00E6691B">
        <w:rPr>
          <w:rFonts w:asciiTheme="minorHAnsi" w:eastAsia="Georgia" w:cs="Georgia"/>
          <w:color w:val="000000"/>
        </w:rPr>
        <w:t xml:space="preserve"> A common strength across pilots is the indirect influence of students on family behavior. Where this mechanism worked well, the campaign moved beyond the classroom and produced practical effects in household-level WEEE collection or </w:t>
      </w:r>
      <w:proofErr w:type="gramStart"/>
      <w:r w:rsidRPr="00E6691B">
        <w:rPr>
          <w:rFonts w:asciiTheme="minorHAnsi" w:eastAsia="Georgia" w:cs="Georgia"/>
          <w:color w:val="000000"/>
        </w:rPr>
        <w:t>awareness .</w:t>
      </w:r>
      <w:proofErr w:type="gramEnd"/>
    </w:p>
    <w:p w14:paraId="2A35EE53" w14:textId="7301F067" w:rsidR="00716BE6" w:rsidRPr="00E6691B" w:rsidRDefault="005A1987">
      <w:pPr>
        <w:numPr>
          <w:ilvl w:val="0"/>
          <w:numId w:val="3"/>
        </w:numPr>
        <w:spacing w:after="210" w:line="360" w:lineRule="auto"/>
        <w:rPr>
          <w:rFonts w:asciiTheme="minorHAnsi"/>
        </w:rPr>
      </w:pPr>
      <w:r w:rsidRPr="00E6691B">
        <w:rPr>
          <w:rFonts w:asciiTheme="minorHAnsi" w:eastAsia="Georgia" w:cs="Georgia"/>
          <w:b/>
          <w:color w:val="000000"/>
        </w:rPr>
        <w:t>Strong coordination among schools, municipalities, and waste actors.</w:t>
      </w:r>
      <w:r w:rsidRPr="00E6691B">
        <w:rPr>
          <w:rFonts w:asciiTheme="minorHAnsi" w:eastAsia="Georgia" w:cs="Georgia"/>
          <w:color w:val="000000"/>
        </w:rPr>
        <w:t xml:space="preserve"> The draft repeatedly shows that the solution works best when roles are clearly </w:t>
      </w:r>
      <w:proofErr w:type="gramStart"/>
      <w:r w:rsidRPr="00E6691B">
        <w:rPr>
          <w:rFonts w:asciiTheme="minorHAnsi" w:eastAsia="Georgia" w:cs="Georgia"/>
          <w:color w:val="000000"/>
        </w:rPr>
        <w:t>assigned</w:t>
      </w:r>
      <w:proofErr w:type="gramEnd"/>
      <w:r w:rsidRPr="00E6691B">
        <w:rPr>
          <w:rFonts w:asciiTheme="minorHAnsi" w:eastAsia="Georgia" w:cs="Georgia"/>
          <w:color w:val="000000"/>
        </w:rPr>
        <w:t xml:space="preserve"> and coordination is maintained through dedicated liaisons, educators, or steering mechanisms. WEEE BEHAVE is therefore low-infrastructure but coordination-</w:t>
      </w:r>
      <w:proofErr w:type="gramStart"/>
      <w:r w:rsidRPr="00E6691B">
        <w:rPr>
          <w:rFonts w:asciiTheme="minorHAnsi" w:eastAsia="Georgia" w:cs="Georgia"/>
          <w:color w:val="000000"/>
        </w:rPr>
        <w:t>intensive .</w:t>
      </w:r>
      <w:proofErr w:type="gramEnd"/>
    </w:p>
    <w:p w14:paraId="2A35EE54" w14:textId="77777777" w:rsidR="00716BE6" w:rsidRPr="00E6691B" w:rsidRDefault="005A1987">
      <w:pPr>
        <w:spacing w:before="315" w:after="105" w:line="360" w:lineRule="auto"/>
        <w:ind w:left="-30"/>
        <w:rPr>
          <w:rFonts w:asciiTheme="minorHAnsi"/>
        </w:rPr>
      </w:pPr>
      <w:bookmarkStart w:id="21" w:name="bm_4_2_lessons_learned_synthesis"/>
      <w:r w:rsidRPr="00E6691B">
        <w:rPr>
          <w:rFonts w:asciiTheme="minorHAnsi" w:eastAsia="Georgia" w:cs="Georgia"/>
          <w:b/>
          <w:color w:val="000000"/>
          <w:sz w:val="24"/>
        </w:rPr>
        <w:t>4.2 Lessons learned synthesis</w:t>
      </w:r>
      <w:bookmarkEnd w:id="21"/>
    </w:p>
    <w:p w14:paraId="2A35EE55" w14:textId="77777777" w:rsidR="00716BE6" w:rsidRPr="00E6691B" w:rsidRDefault="005A1987">
      <w:pPr>
        <w:spacing w:after="210" w:line="360" w:lineRule="auto"/>
        <w:rPr>
          <w:rFonts w:asciiTheme="minorHAnsi"/>
        </w:rPr>
      </w:pPr>
      <w:r w:rsidRPr="00E6691B">
        <w:rPr>
          <w:rFonts w:asciiTheme="minorHAnsi" w:eastAsia="Georgia" w:cs="Georgia"/>
          <w:color w:val="000000"/>
        </w:rPr>
        <w:t>The most representative lessons learned across territories are:</w:t>
      </w:r>
    </w:p>
    <w:p w14:paraId="2A35EE56" w14:textId="2C709B47" w:rsidR="00716BE6" w:rsidRPr="00E6691B" w:rsidRDefault="005A1987">
      <w:pPr>
        <w:numPr>
          <w:ilvl w:val="0"/>
          <w:numId w:val="4"/>
        </w:numPr>
        <w:spacing w:before="105" w:after="105" w:line="360" w:lineRule="auto"/>
        <w:rPr>
          <w:rFonts w:asciiTheme="minorHAnsi"/>
        </w:rPr>
      </w:pPr>
      <w:r w:rsidRPr="00E6691B">
        <w:rPr>
          <w:rFonts w:asciiTheme="minorHAnsi" w:eastAsia="Georgia" w:cs="Georgia"/>
          <w:color w:val="000000"/>
        </w:rPr>
        <w:t xml:space="preserve">Educational campaigns are more effective when they are structured as repeated or organized processes rather than isolated workshops. </w:t>
      </w:r>
    </w:p>
    <w:p w14:paraId="2A35EE57" w14:textId="7701B002" w:rsidR="00716BE6" w:rsidRPr="00E6691B" w:rsidRDefault="005A1987">
      <w:pPr>
        <w:numPr>
          <w:ilvl w:val="0"/>
          <w:numId w:val="4"/>
        </w:numPr>
        <w:spacing w:before="105" w:after="105" w:line="360" w:lineRule="auto"/>
        <w:rPr>
          <w:rFonts w:asciiTheme="minorHAnsi"/>
        </w:rPr>
      </w:pPr>
      <w:r w:rsidRPr="00E6691B">
        <w:rPr>
          <w:rFonts w:asciiTheme="minorHAnsi" w:eastAsia="Georgia" w:cs="Georgia"/>
          <w:color w:val="000000"/>
        </w:rPr>
        <w:t xml:space="preserve">Early involvement of school directors, teachers, and municipal actors is essential for implementation quality and timetable stability. </w:t>
      </w:r>
    </w:p>
    <w:p w14:paraId="2A35EE58" w14:textId="16CA25EE" w:rsidR="00716BE6" w:rsidRPr="00E6691B" w:rsidRDefault="005A1987">
      <w:pPr>
        <w:numPr>
          <w:ilvl w:val="0"/>
          <w:numId w:val="4"/>
        </w:numPr>
        <w:spacing w:before="105" w:after="105" w:line="360" w:lineRule="auto"/>
        <w:rPr>
          <w:rFonts w:asciiTheme="minorHAnsi"/>
        </w:rPr>
      </w:pPr>
      <w:r w:rsidRPr="00E6691B">
        <w:rPr>
          <w:rFonts w:asciiTheme="minorHAnsi" w:eastAsia="Georgia" w:cs="Georgia"/>
          <w:color w:val="000000"/>
        </w:rPr>
        <w:t xml:space="preserve">Competitions and games are central success drivers, not optional additions. </w:t>
      </w:r>
    </w:p>
    <w:p w14:paraId="2A35EE59" w14:textId="641DCFD5" w:rsidR="00716BE6" w:rsidRPr="00E6691B" w:rsidRDefault="005A1987">
      <w:pPr>
        <w:numPr>
          <w:ilvl w:val="0"/>
          <w:numId w:val="4"/>
        </w:numPr>
        <w:spacing w:before="105" w:after="105" w:line="360" w:lineRule="auto"/>
        <w:rPr>
          <w:rFonts w:asciiTheme="minorHAnsi"/>
        </w:rPr>
      </w:pPr>
      <w:r w:rsidRPr="00E6691B">
        <w:rPr>
          <w:rFonts w:asciiTheme="minorHAnsi" w:eastAsia="Georgia" w:cs="Georgia"/>
          <w:color w:val="000000"/>
        </w:rPr>
        <w:t xml:space="preserve">Family spillover is one of the most important pathways for impact, especially where the solution aims to improve real collection behavior. </w:t>
      </w:r>
    </w:p>
    <w:p w14:paraId="2A35EE5A" w14:textId="66BB1D4E" w:rsidR="00716BE6" w:rsidRPr="00E6691B" w:rsidRDefault="005A1987">
      <w:pPr>
        <w:numPr>
          <w:ilvl w:val="0"/>
          <w:numId w:val="4"/>
        </w:numPr>
        <w:spacing w:before="105" w:after="105" w:line="360" w:lineRule="auto"/>
        <w:rPr>
          <w:rFonts w:asciiTheme="minorHAnsi"/>
        </w:rPr>
      </w:pPr>
      <w:r w:rsidRPr="00E6691B">
        <w:rPr>
          <w:rFonts w:asciiTheme="minorHAnsi" w:eastAsia="Georgia" w:cs="Georgia"/>
          <w:color w:val="000000"/>
        </w:rPr>
        <w:t xml:space="preserve">The value of the pilot cannot be judged only by kilograms collected, because regulatory conditions and campaign scope differed across territories. </w:t>
      </w:r>
    </w:p>
    <w:p w14:paraId="2A35EE5B" w14:textId="33602E00" w:rsidR="00716BE6" w:rsidRPr="00E6691B" w:rsidRDefault="005A1987">
      <w:pPr>
        <w:numPr>
          <w:ilvl w:val="0"/>
          <w:numId w:val="4"/>
        </w:numPr>
        <w:spacing w:before="105" w:after="105" w:line="360" w:lineRule="auto"/>
        <w:rPr>
          <w:rFonts w:asciiTheme="minorHAnsi"/>
        </w:rPr>
      </w:pPr>
      <w:r w:rsidRPr="00E6691B">
        <w:rPr>
          <w:rFonts w:asciiTheme="minorHAnsi" w:eastAsia="Georgia" w:cs="Georgia"/>
          <w:color w:val="000000"/>
        </w:rPr>
        <w:lastRenderedPageBreak/>
        <w:t xml:space="preserve">Short pilots can demonstrate activation and awareness, but not yet durable long-term behavioral change, which requires repetition and follow-up monitoring. </w:t>
      </w:r>
    </w:p>
    <w:p w14:paraId="2A35EE5C" w14:textId="77777777" w:rsidR="00716BE6" w:rsidRPr="00E6691B" w:rsidRDefault="005A1987">
      <w:pPr>
        <w:spacing w:before="315" w:after="105" w:line="360" w:lineRule="auto"/>
        <w:ind w:left="-30"/>
        <w:rPr>
          <w:rFonts w:asciiTheme="minorHAnsi"/>
        </w:rPr>
      </w:pPr>
      <w:bookmarkStart w:id="22" w:name="bm_4_3_main_challenges_to_manage"/>
      <w:r w:rsidRPr="00E6691B">
        <w:rPr>
          <w:rFonts w:asciiTheme="minorHAnsi" w:eastAsia="Georgia" w:cs="Georgia"/>
          <w:b/>
          <w:color w:val="000000"/>
          <w:sz w:val="24"/>
        </w:rPr>
        <w:t>4.3 Main challenges to manage</w:t>
      </w:r>
      <w:bookmarkEnd w:id="22"/>
    </w:p>
    <w:p w14:paraId="2A35EE5D" w14:textId="77777777" w:rsidR="00716BE6" w:rsidRPr="00E6691B" w:rsidRDefault="005A1987">
      <w:pPr>
        <w:spacing w:after="210" w:line="360" w:lineRule="auto"/>
        <w:rPr>
          <w:rFonts w:asciiTheme="minorHAnsi"/>
        </w:rPr>
      </w:pPr>
      <w:r w:rsidRPr="00E6691B">
        <w:rPr>
          <w:rFonts w:asciiTheme="minorHAnsi" w:eastAsia="Georgia" w:cs="Georgia"/>
          <w:color w:val="000000"/>
        </w:rPr>
        <w:t>The draft points to three recurrent challenges that should be addressed in future transfer:</w:t>
      </w:r>
    </w:p>
    <w:p w14:paraId="2A35EE5E" w14:textId="0BD188B9" w:rsidR="00716BE6" w:rsidRPr="00E6691B" w:rsidRDefault="005A1987">
      <w:pPr>
        <w:numPr>
          <w:ilvl w:val="0"/>
          <w:numId w:val="5"/>
        </w:numPr>
        <w:spacing w:after="210" w:line="360" w:lineRule="auto"/>
        <w:rPr>
          <w:rFonts w:asciiTheme="minorHAnsi"/>
        </w:rPr>
      </w:pPr>
      <w:r w:rsidRPr="00E6691B">
        <w:rPr>
          <w:rFonts w:asciiTheme="minorHAnsi" w:eastAsia="Georgia" w:cs="Georgia"/>
          <w:b/>
          <w:color w:val="000000"/>
        </w:rPr>
        <w:t>Organizational and scheduling constraints.</w:t>
      </w:r>
      <w:r w:rsidRPr="00E6691B">
        <w:rPr>
          <w:rFonts w:asciiTheme="minorHAnsi" w:eastAsia="Georgia" w:cs="Georgia"/>
          <w:color w:val="000000"/>
        </w:rPr>
        <w:t xml:space="preserve"> School calendars, workshop timing, and municipal coordination can slow implementation unless responsibilities are defined early and communication is kept simple and </w:t>
      </w:r>
      <w:proofErr w:type="gramStart"/>
      <w:r w:rsidRPr="00E6691B">
        <w:rPr>
          <w:rFonts w:asciiTheme="minorHAnsi" w:eastAsia="Georgia" w:cs="Georgia"/>
          <w:color w:val="000000"/>
        </w:rPr>
        <w:t>regular .</w:t>
      </w:r>
      <w:proofErr w:type="gramEnd"/>
    </w:p>
    <w:p w14:paraId="2A35EE5F" w14:textId="0076E911" w:rsidR="00716BE6" w:rsidRPr="00E6691B" w:rsidRDefault="005A1987">
      <w:pPr>
        <w:numPr>
          <w:ilvl w:val="0"/>
          <w:numId w:val="5"/>
        </w:numPr>
        <w:spacing w:after="210" w:line="360" w:lineRule="auto"/>
        <w:rPr>
          <w:rFonts w:asciiTheme="minorHAnsi"/>
        </w:rPr>
      </w:pPr>
      <w:r w:rsidRPr="00E6691B">
        <w:rPr>
          <w:rFonts w:asciiTheme="minorHAnsi" w:eastAsia="Georgia" w:cs="Georgia"/>
          <w:b/>
          <w:color w:val="000000"/>
        </w:rPr>
        <w:t>Ambiguity over accepted WEEE streams.</w:t>
      </w:r>
      <w:r w:rsidRPr="00E6691B">
        <w:rPr>
          <w:rFonts w:asciiTheme="minorHAnsi" w:eastAsia="Georgia" w:cs="Georgia"/>
          <w:color w:val="000000"/>
        </w:rPr>
        <w:t xml:space="preserve"> The treatment of certain items, such as batteries or small devices, can create confusion or inconsistent collection practices. Future replication should therefore define clearly what can be collected, by whom, and under which legal </w:t>
      </w:r>
      <w:proofErr w:type="gramStart"/>
      <w:r w:rsidRPr="00E6691B">
        <w:rPr>
          <w:rFonts w:asciiTheme="minorHAnsi" w:eastAsia="Georgia" w:cs="Georgia"/>
          <w:color w:val="000000"/>
        </w:rPr>
        <w:t>conditions .</w:t>
      </w:r>
      <w:proofErr w:type="gramEnd"/>
    </w:p>
    <w:p w14:paraId="2A35EE60" w14:textId="6CD7EC11" w:rsidR="00716BE6" w:rsidRPr="00E6691B" w:rsidRDefault="005A1987">
      <w:pPr>
        <w:numPr>
          <w:ilvl w:val="0"/>
          <w:numId w:val="5"/>
        </w:numPr>
        <w:spacing w:after="210" w:line="360" w:lineRule="auto"/>
        <w:rPr>
          <w:rFonts w:asciiTheme="minorHAnsi"/>
        </w:rPr>
      </w:pPr>
      <w:r w:rsidRPr="00E6691B">
        <w:rPr>
          <w:rFonts w:asciiTheme="minorHAnsi" w:eastAsia="Georgia" w:cs="Georgia"/>
          <w:b/>
          <w:color w:val="000000"/>
        </w:rPr>
        <w:t>Institutional or political fragility.</w:t>
      </w:r>
      <w:r w:rsidRPr="00E6691B">
        <w:rPr>
          <w:rFonts w:asciiTheme="minorHAnsi" w:eastAsia="Georgia" w:cs="Georgia"/>
          <w:color w:val="000000"/>
        </w:rPr>
        <w:t xml:space="preserve"> Some activities may be vulnerable to local political conditions or changes in institutional support. Formal agreements and integration into annual plans are therefore important for sustainability and scale-</w:t>
      </w:r>
      <w:proofErr w:type="gramStart"/>
      <w:r w:rsidRPr="00E6691B">
        <w:rPr>
          <w:rFonts w:asciiTheme="minorHAnsi" w:eastAsia="Georgia" w:cs="Georgia"/>
          <w:color w:val="000000"/>
        </w:rPr>
        <w:t>up .</w:t>
      </w:r>
      <w:proofErr w:type="gramEnd"/>
    </w:p>
    <w:p w14:paraId="2A35EE61" w14:textId="77777777" w:rsidR="00716BE6" w:rsidRPr="00E6691B" w:rsidRDefault="005A1987">
      <w:pPr>
        <w:spacing w:before="315" w:after="105" w:line="360" w:lineRule="auto"/>
        <w:ind w:left="-30"/>
        <w:rPr>
          <w:rFonts w:asciiTheme="minorHAnsi"/>
        </w:rPr>
      </w:pPr>
      <w:bookmarkStart w:id="23" w:name="bm_5_transferability_assessment"/>
      <w:r w:rsidRPr="00E6691B">
        <w:rPr>
          <w:rFonts w:asciiTheme="minorHAnsi" w:eastAsia="Georgia" w:cs="Georgia"/>
          <w:b/>
          <w:color w:val="000000"/>
          <w:sz w:val="24"/>
        </w:rPr>
        <w:t>5. Transferability assessment</w:t>
      </w:r>
      <w:bookmarkEnd w:id="23"/>
    </w:p>
    <w:p w14:paraId="2A35EE62" w14:textId="77777777" w:rsidR="00716BE6" w:rsidRPr="00E6691B" w:rsidRDefault="005A1987">
      <w:pPr>
        <w:spacing w:before="315" w:after="105" w:line="360" w:lineRule="auto"/>
        <w:ind w:left="-30"/>
        <w:rPr>
          <w:rFonts w:asciiTheme="minorHAnsi"/>
        </w:rPr>
      </w:pPr>
      <w:bookmarkStart w:id="24" w:name="bm_5_1_ideal_target_profile"/>
      <w:r w:rsidRPr="00E6691B">
        <w:rPr>
          <w:rFonts w:asciiTheme="minorHAnsi" w:eastAsia="Georgia" w:cs="Georgia"/>
          <w:b/>
          <w:color w:val="000000"/>
          <w:sz w:val="24"/>
        </w:rPr>
        <w:t>5.1 Ideal target profile</w:t>
      </w:r>
      <w:bookmarkEnd w:id="24"/>
    </w:p>
    <w:p w14:paraId="2A35EE63" w14:textId="32883F8A" w:rsidR="00716BE6" w:rsidRPr="00E6691B" w:rsidRDefault="005A1987">
      <w:pPr>
        <w:spacing w:after="210" w:line="360" w:lineRule="auto"/>
        <w:rPr>
          <w:rFonts w:asciiTheme="minorHAnsi"/>
        </w:rPr>
      </w:pPr>
      <w:r w:rsidRPr="00E6691B">
        <w:rPr>
          <w:rFonts w:asciiTheme="minorHAnsi" w:eastAsia="Georgia" w:cs="Georgia"/>
          <w:color w:val="000000"/>
        </w:rPr>
        <w:t xml:space="preserve">WEEE BEHAVE works best in territories with accessible public schools, a functioning municipal or regional waste management structure, and at least one public or intermediary actor capable of coordinating the campaign across schools and stakeholders. The draft also suggests that the presence of school infrastructure and stakeholder engagement capacity are more decisive than high levels of technical </w:t>
      </w:r>
      <w:proofErr w:type="gramStart"/>
      <w:r w:rsidRPr="00E6691B">
        <w:rPr>
          <w:rFonts w:asciiTheme="minorHAnsi" w:eastAsia="Georgia" w:cs="Georgia"/>
          <w:color w:val="000000"/>
        </w:rPr>
        <w:t>infrastructure .</w:t>
      </w:r>
      <w:proofErr w:type="gramEnd"/>
    </w:p>
    <w:p w14:paraId="2A35EE64" w14:textId="2FFA5DA3" w:rsidR="00716BE6" w:rsidRPr="00E6691B" w:rsidRDefault="005A1987">
      <w:pPr>
        <w:spacing w:after="210" w:line="360" w:lineRule="auto"/>
        <w:rPr>
          <w:rFonts w:asciiTheme="minorHAnsi"/>
        </w:rPr>
      </w:pPr>
      <w:r w:rsidRPr="00E6691B">
        <w:rPr>
          <w:rFonts w:asciiTheme="minorHAnsi" w:eastAsia="Georgia" w:cs="Georgia"/>
          <w:color w:val="000000"/>
        </w:rPr>
        <w:t xml:space="preserve">The solution is not limited to dense urban territories. Although many pilots were urban or semi-urban, the Bulgaria experience shows that it can also operate across broader territorial networks, including mixed urban-rural settings, if the coordination model and school outreach structure are adapted </w:t>
      </w:r>
      <w:proofErr w:type="gramStart"/>
      <w:r w:rsidRPr="00E6691B">
        <w:rPr>
          <w:rFonts w:asciiTheme="minorHAnsi" w:eastAsia="Georgia" w:cs="Georgia"/>
          <w:color w:val="000000"/>
        </w:rPr>
        <w:t>accordingly .</w:t>
      </w:r>
      <w:proofErr w:type="gramEnd"/>
    </w:p>
    <w:p w14:paraId="2A35EE65" w14:textId="77777777" w:rsidR="00716BE6" w:rsidRPr="00E6691B" w:rsidRDefault="005A1987">
      <w:pPr>
        <w:spacing w:before="315" w:after="105" w:line="360" w:lineRule="auto"/>
        <w:ind w:left="-30"/>
        <w:rPr>
          <w:rFonts w:asciiTheme="minorHAnsi"/>
        </w:rPr>
      </w:pPr>
      <w:bookmarkStart w:id="25" w:name="bm_5_2_transfer_feasibility_by_te_f243d5"/>
      <w:r w:rsidRPr="00E6691B">
        <w:rPr>
          <w:rFonts w:asciiTheme="minorHAnsi" w:eastAsia="Georgia" w:cs="Georgia"/>
          <w:b/>
          <w:color w:val="000000"/>
          <w:sz w:val="24"/>
        </w:rPr>
        <w:t>5.2 Transfer feasibility by territory type</w:t>
      </w:r>
      <w:bookmarkEnd w:id="25"/>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723"/>
        <w:gridCol w:w="1067"/>
        <w:gridCol w:w="3667"/>
        <w:gridCol w:w="3047"/>
      </w:tblGrid>
      <w:tr w:rsidR="00716BE6" w:rsidRPr="00E6691B" w14:paraId="2A35EE6A"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66"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Territory type</w:t>
            </w:r>
          </w:p>
        </w:tc>
        <w:tc>
          <w:tcPr>
            <w:tcW w:w="0" w:type="auto"/>
            <w:tcBorders>
              <w:top w:val="single" w:sz="1" w:space="0" w:color="000000"/>
              <w:bottom w:val="single" w:sz="1" w:space="0" w:color="000000"/>
              <w:right w:val="single" w:sz="1" w:space="0" w:color="000000"/>
            </w:tcBorders>
          </w:tcPr>
          <w:p w14:paraId="2A35EE67"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Feasibility</w:t>
            </w:r>
          </w:p>
        </w:tc>
        <w:tc>
          <w:tcPr>
            <w:tcW w:w="0" w:type="auto"/>
            <w:tcBorders>
              <w:top w:val="single" w:sz="1" w:space="0" w:color="000000"/>
              <w:bottom w:val="single" w:sz="1" w:space="0" w:color="000000"/>
              <w:right w:val="single" w:sz="1" w:space="0" w:color="000000"/>
            </w:tcBorders>
          </w:tcPr>
          <w:p w14:paraId="2A35EE68"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Why based on pilots</w:t>
            </w:r>
          </w:p>
        </w:tc>
        <w:tc>
          <w:tcPr>
            <w:tcW w:w="0" w:type="auto"/>
            <w:tcBorders>
              <w:top w:val="single" w:sz="1" w:space="0" w:color="000000"/>
              <w:bottom w:val="single" w:sz="1" w:space="0" w:color="000000"/>
            </w:tcBorders>
          </w:tcPr>
          <w:p w14:paraId="2A35EE69"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Adaptation required</w:t>
            </w:r>
          </w:p>
        </w:tc>
      </w:tr>
      <w:tr w:rsidR="00716BE6" w:rsidRPr="00E6691B" w14:paraId="2A35EE6F"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6B" w14:textId="77777777" w:rsidR="00716BE6" w:rsidRPr="00E6691B" w:rsidRDefault="005A1987">
            <w:pPr>
              <w:spacing w:line="360" w:lineRule="auto"/>
              <w:rPr>
                <w:rFonts w:asciiTheme="minorHAnsi"/>
              </w:rPr>
            </w:pPr>
            <w:proofErr w:type="gramStart"/>
            <w:r w:rsidRPr="00E6691B">
              <w:rPr>
                <w:rFonts w:asciiTheme="minorHAnsi" w:eastAsia="Helvetica Neue" w:cs="Helvetica Neue"/>
                <w:color w:val="000000"/>
                <w:sz w:val="17"/>
              </w:rPr>
              <w:lastRenderedPageBreak/>
              <w:t>Similar to</w:t>
            </w:r>
            <w:proofErr w:type="gramEnd"/>
            <w:r w:rsidRPr="00E6691B">
              <w:rPr>
                <w:rFonts w:asciiTheme="minorHAnsi" w:eastAsia="Helvetica Neue" w:cs="Helvetica Neue"/>
                <w:color w:val="000000"/>
                <w:sz w:val="17"/>
              </w:rPr>
              <w:t xml:space="preserve"> pilot sites</w:t>
            </w:r>
          </w:p>
        </w:tc>
        <w:tc>
          <w:tcPr>
            <w:tcW w:w="0" w:type="auto"/>
            <w:tcBorders>
              <w:top w:val="single" w:sz="1" w:space="0" w:color="000000"/>
              <w:bottom w:val="single" w:sz="1" w:space="0" w:color="000000"/>
              <w:right w:val="single" w:sz="1" w:space="0" w:color="000000"/>
            </w:tcBorders>
          </w:tcPr>
          <w:p w14:paraId="2A35EE6C" w14:textId="32E6FB26"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High </w:t>
            </w:r>
          </w:p>
        </w:tc>
        <w:tc>
          <w:tcPr>
            <w:tcW w:w="0" w:type="auto"/>
            <w:tcBorders>
              <w:top w:val="single" w:sz="1" w:space="0" w:color="000000"/>
              <w:bottom w:val="single" w:sz="1" w:space="0" w:color="000000"/>
              <w:right w:val="single" w:sz="1" w:space="0" w:color="000000"/>
            </w:tcBorders>
          </w:tcPr>
          <w:p w14:paraId="2A35EE6D" w14:textId="623DBED7"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The draft explicitly presents strong replication potential in Greece, Bulgaria, Italy, and Spain. </w:t>
            </w:r>
          </w:p>
        </w:tc>
        <w:tc>
          <w:tcPr>
            <w:tcW w:w="0" w:type="auto"/>
            <w:tcBorders>
              <w:top w:val="single" w:sz="1" w:space="0" w:color="000000"/>
              <w:bottom w:val="single" w:sz="1" w:space="0" w:color="000000"/>
            </w:tcBorders>
          </w:tcPr>
          <w:p w14:paraId="2A35EE6E" w14:textId="75CF165E"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Moderate adaptation of materials, campaign design, and stakeholder roles. </w:t>
            </w:r>
          </w:p>
        </w:tc>
      </w:tr>
      <w:tr w:rsidR="00716BE6" w:rsidRPr="00E6691B" w14:paraId="2A35EE74"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70"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Different socio-economic setting</w:t>
            </w:r>
          </w:p>
        </w:tc>
        <w:tc>
          <w:tcPr>
            <w:tcW w:w="0" w:type="auto"/>
            <w:tcBorders>
              <w:top w:val="single" w:sz="1" w:space="0" w:color="000000"/>
              <w:bottom w:val="single" w:sz="1" w:space="0" w:color="000000"/>
              <w:right w:val="single" w:sz="1" w:space="0" w:color="000000"/>
            </w:tcBorders>
          </w:tcPr>
          <w:p w14:paraId="2A35EE71" w14:textId="7B58CC09" w:rsidR="00716BE6" w:rsidRPr="00E6691B" w:rsidRDefault="00113E0C">
            <w:pPr>
              <w:spacing w:line="360" w:lineRule="auto"/>
              <w:rPr>
                <w:rFonts w:asciiTheme="minorHAnsi"/>
              </w:rPr>
            </w:pPr>
            <w:r>
              <w:rPr>
                <w:rFonts w:asciiTheme="minorHAnsi" w:eastAsia="Helvetica Neue" w:cs="Helvetica Neue"/>
                <w:color w:val="000000"/>
                <w:sz w:val="17"/>
              </w:rPr>
              <w:t>High</w:t>
            </w:r>
            <w:r w:rsidRPr="00E6691B">
              <w:rPr>
                <w:rFonts w:asciiTheme="minorHAnsi" w:eastAsia="Helvetica Neue" w:cs="Helvetica Neue"/>
                <w:color w:val="000000"/>
                <w:sz w:val="17"/>
              </w:rPr>
              <w:t xml:space="preserve"> </w:t>
            </w:r>
          </w:p>
        </w:tc>
        <w:tc>
          <w:tcPr>
            <w:tcW w:w="0" w:type="auto"/>
            <w:tcBorders>
              <w:top w:val="single" w:sz="1" w:space="0" w:color="000000"/>
              <w:bottom w:val="single" w:sz="1" w:space="0" w:color="000000"/>
              <w:right w:val="single" w:sz="1" w:space="0" w:color="000000"/>
            </w:tcBorders>
          </w:tcPr>
          <w:p w14:paraId="2A35EE72" w14:textId="45E35441"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The pilots did not explicitly test this variable. </w:t>
            </w:r>
          </w:p>
        </w:tc>
        <w:tc>
          <w:tcPr>
            <w:tcW w:w="0" w:type="auto"/>
            <w:tcBorders>
              <w:top w:val="single" w:sz="1" w:space="0" w:color="000000"/>
              <w:bottom w:val="single" w:sz="1" w:space="0" w:color="000000"/>
            </w:tcBorders>
          </w:tcPr>
          <w:p w14:paraId="2A35EE73" w14:textId="3D240EF1"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Adapt communication, incentives, and outreach channels to local family realities. </w:t>
            </w:r>
          </w:p>
        </w:tc>
      </w:tr>
      <w:tr w:rsidR="00716BE6" w:rsidRPr="00E6691B" w14:paraId="2A35EE79"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75"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Different regulatory environment</w:t>
            </w:r>
          </w:p>
        </w:tc>
        <w:tc>
          <w:tcPr>
            <w:tcW w:w="0" w:type="auto"/>
            <w:tcBorders>
              <w:top w:val="single" w:sz="1" w:space="0" w:color="000000"/>
              <w:bottom w:val="single" w:sz="1" w:space="0" w:color="000000"/>
              <w:right w:val="single" w:sz="1" w:space="0" w:color="000000"/>
            </w:tcBorders>
          </w:tcPr>
          <w:p w14:paraId="2A35EE76" w14:textId="2B5DF869"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Low </w:t>
            </w:r>
          </w:p>
        </w:tc>
        <w:tc>
          <w:tcPr>
            <w:tcW w:w="0" w:type="auto"/>
            <w:tcBorders>
              <w:top w:val="single" w:sz="1" w:space="0" w:color="000000"/>
              <w:bottom w:val="single" w:sz="1" w:space="0" w:color="000000"/>
              <w:right w:val="single" w:sz="1" w:space="0" w:color="000000"/>
            </w:tcBorders>
          </w:tcPr>
          <w:p w14:paraId="2A35EE77" w14:textId="4F0FAB36"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The draft explicitly marks this category as low feasibility because legal conditions may restrict collection possibilities. </w:t>
            </w:r>
          </w:p>
        </w:tc>
        <w:tc>
          <w:tcPr>
            <w:tcW w:w="0" w:type="auto"/>
            <w:tcBorders>
              <w:top w:val="single" w:sz="1" w:space="0" w:color="000000"/>
              <w:bottom w:val="single" w:sz="1" w:space="0" w:color="000000"/>
            </w:tcBorders>
          </w:tcPr>
          <w:p w14:paraId="2A35EE78" w14:textId="27281301"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Strong redesign of collection channels and compliance procedures. </w:t>
            </w:r>
          </w:p>
        </w:tc>
      </w:tr>
      <w:tr w:rsidR="00716BE6" w:rsidRPr="00E6691B" w14:paraId="2A35EE7E"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7A"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Rural-dominant territory</w:t>
            </w:r>
          </w:p>
        </w:tc>
        <w:tc>
          <w:tcPr>
            <w:tcW w:w="0" w:type="auto"/>
            <w:tcBorders>
              <w:top w:val="single" w:sz="1" w:space="0" w:color="000000"/>
              <w:bottom w:val="single" w:sz="1" w:space="0" w:color="000000"/>
              <w:right w:val="single" w:sz="1" w:space="0" w:color="000000"/>
            </w:tcBorders>
          </w:tcPr>
          <w:p w14:paraId="2A35EE7B" w14:textId="476DE5C7"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Medium </w:t>
            </w:r>
          </w:p>
        </w:tc>
        <w:tc>
          <w:tcPr>
            <w:tcW w:w="0" w:type="auto"/>
            <w:tcBorders>
              <w:top w:val="single" w:sz="1" w:space="0" w:color="000000"/>
              <w:bottom w:val="single" w:sz="1" w:space="0" w:color="000000"/>
              <w:right w:val="single" w:sz="1" w:space="0" w:color="000000"/>
            </w:tcBorders>
          </w:tcPr>
          <w:p w14:paraId="2A35EE7C" w14:textId="5E14EA05"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The draft marks rural-dominant settings as medium feasibility. </w:t>
            </w:r>
          </w:p>
        </w:tc>
        <w:tc>
          <w:tcPr>
            <w:tcW w:w="0" w:type="auto"/>
            <w:tcBorders>
              <w:top w:val="single" w:sz="1" w:space="0" w:color="000000"/>
              <w:bottom w:val="single" w:sz="1" w:space="0" w:color="000000"/>
            </w:tcBorders>
          </w:tcPr>
          <w:p w14:paraId="2A35EE7D" w14:textId="63629CC7"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More distributed coordination and lighter reporting models are needed. </w:t>
            </w:r>
          </w:p>
        </w:tc>
      </w:tr>
    </w:tbl>
    <w:p w14:paraId="2A35EE7F" w14:textId="77777777" w:rsidR="00716BE6" w:rsidRPr="00E6691B" w:rsidRDefault="00716BE6">
      <w:pPr>
        <w:rPr>
          <w:rFonts w:asciiTheme="minorHAnsi"/>
        </w:rPr>
      </w:pPr>
    </w:p>
    <w:p w14:paraId="2A35EE80" w14:textId="77777777" w:rsidR="00716BE6" w:rsidRPr="00E6691B" w:rsidRDefault="005A1987">
      <w:pPr>
        <w:spacing w:before="315" w:after="105" w:line="360" w:lineRule="auto"/>
        <w:ind w:left="-30"/>
        <w:rPr>
          <w:rFonts w:asciiTheme="minorHAnsi"/>
        </w:rPr>
      </w:pPr>
      <w:bookmarkStart w:id="26" w:name="bm_6_enabling_conditions_and_barriers"/>
      <w:r w:rsidRPr="00E6691B">
        <w:rPr>
          <w:rFonts w:asciiTheme="minorHAnsi" w:eastAsia="Georgia" w:cs="Georgia"/>
          <w:b/>
          <w:color w:val="000000"/>
          <w:sz w:val="24"/>
        </w:rPr>
        <w:t>6. Enabling conditions and barriers</w:t>
      </w:r>
      <w:bookmarkEnd w:id="26"/>
    </w:p>
    <w:p w14:paraId="2A35EE81" w14:textId="77777777" w:rsidR="00716BE6" w:rsidRPr="00E6691B" w:rsidRDefault="005A1987">
      <w:pPr>
        <w:spacing w:before="315" w:after="105" w:line="360" w:lineRule="auto"/>
        <w:ind w:left="-30"/>
        <w:rPr>
          <w:rFonts w:asciiTheme="minorHAnsi"/>
        </w:rPr>
      </w:pPr>
      <w:bookmarkStart w:id="27" w:name="bm_6_1_enabling_conditions"/>
      <w:r w:rsidRPr="00E6691B">
        <w:rPr>
          <w:rFonts w:asciiTheme="minorHAnsi" w:eastAsia="Georgia" w:cs="Georgia"/>
          <w:b/>
          <w:color w:val="000000"/>
          <w:sz w:val="24"/>
        </w:rPr>
        <w:t>6.1 Enabling conditions</w:t>
      </w:r>
      <w:bookmarkEnd w:id="27"/>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2324"/>
        <w:gridCol w:w="1662"/>
        <w:gridCol w:w="1221"/>
        <w:gridCol w:w="4297"/>
      </w:tblGrid>
      <w:tr w:rsidR="00716BE6" w:rsidRPr="00E6691B" w14:paraId="2A35EE86"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82"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Condition</w:t>
            </w:r>
          </w:p>
        </w:tc>
        <w:tc>
          <w:tcPr>
            <w:tcW w:w="0" w:type="auto"/>
            <w:tcBorders>
              <w:top w:val="single" w:sz="1" w:space="0" w:color="000000"/>
              <w:bottom w:val="single" w:sz="1" w:space="0" w:color="000000"/>
              <w:right w:val="single" w:sz="1" w:space="0" w:color="000000"/>
            </w:tcBorders>
          </w:tcPr>
          <w:p w14:paraId="2A35EE83"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Importance</w:t>
            </w:r>
          </w:p>
        </w:tc>
        <w:tc>
          <w:tcPr>
            <w:tcW w:w="0" w:type="auto"/>
            <w:tcBorders>
              <w:top w:val="single" w:sz="1" w:space="0" w:color="000000"/>
              <w:bottom w:val="single" w:sz="1" w:space="0" w:color="000000"/>
              <w:right w:val="single" w:sz="1" w:space="0" w:color="000000"/>
            </w:tcBorders>
          </w:tcPr>
          <w:p w14:paraId="2A35EE84"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Replicable</w:t>
            </w:r>
          </w:p>
        </w:tc>
        <w:tc>
          <w:tcPr>
            <w:tcW w:w="0" w:type="auto"/>
            <w:tcBorders>
              <w:top w:val="single" w:sz="1" w:space="0" w:color="000000"/>
              <w:bottom w:val="single" w:sz="1" w:space="0" w:color="000000"/>
            </w:tcBorders>
          </w:tcPr>
          <w:p w14:paraId="2A35EE85"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Notes</w:t>
            </w:r>
          </w:p>
        </w:tc>
      </w:tr>
      <w:tr w:rsidR="00716BE6" w:rsidRPr="00E6691B" w14:paraId="2A35EE8B"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87"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School participation</w:t>
            </w:r>
          </w:p>
        </w:tc>
        <w:tc>
          <w:tcPr>
            <w:tcW w:w="0" w:type="auto"/>
            <w:tcBorders>
              <w:top w:val="single" w:sz="1" w:space="0" w:color="000000"/>
              <w:bottom w:val="single" w:sz="1" w:space="0" w:color="000000"/>
              <w:right w:val="single" w:sz="1" w:space="0" w:color="000000"/>
            </w:tcBorders>
          </w:tcPr>
          <w:p w14:paraId="2A35EE88" w14:textId="59256BC3"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Must-have </w:t>
            </w:r>
          </w:p>
        </w:tc>
        <w:tc>
          <w:tcPr>
            <w:tcW w:w="0" w:type="auto"/>
            <w:tcBorders>
              <w:top w:val="single" w:sz="1" w:space="0" w:color="000000"/>
              <w:bottom w:val="single" w:sz="1" w:space="0" w:color="000000"/>
              <w:right w:val="single" w:sz="1" w:space="0" w:color="000000"/>
            </w:tcBorders>
          </w:tcPr>
          <w:p w14:paraId="2A35EE89" w14:textId="0BA40025"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Yes </w:t>
            </w:r>
          </w:p>
        </w:tc>
        <w:tc>
          <w:tcPr>
            <w:tcW w:w="0" w:type="auto"/>
            <w:tcBorders>
              <w:top w:val="single" w:sz="1" w:space="0" w:color="000000"/>
              <w:bottom w:val="single" w:sz="1" w:space="0" w:color="000000"/>
            </w:tcBorders>
          </w:tcPr>
          <w:p w14:paraId="2A35EE8A" w14:textId="2DA638ED"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Present in all pilots and central to the solution model. </w:t>
            </w:r>
          </w:p>
        </w:tc>
      </w:tr>
      <w:tr w:rsidR="00716BE6" w:rsidRPr="00E6691B" w14:paraId="2A35EE90"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8C"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Municipality or region support</w:t>
            </w:r>
          </w:p>
        </w:tc>
        <w:tc>
          <w:tcPr>
            <w:tcW w:w="0" w:type="auto"/>
            <w:tcBorders>
              <w:top w:val="single" w:sz="1" w:space="0" w:color="000000"/>
              <w:bottom w:val="single" w:sz="1" w:space="0" w:color="000000"/>
              <w:right w:val="single" w:sz="1" w:space="0" w:color="000000"/>
            </w:tcBorders>
          </w:tcPr>
          <w:p w14:paraId="2A35EE8D" w14:textId="5CE29963"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Must-have </w:t>
            </w:r>
          </w:p>
        </w:tc>
        <w:tc>
          <w:tcPr>
            <w:tcW w:w="0" w:type="auto"/>
            <w:tcBorders>
              <w:top w:val="single" w:sz="1" w:space="0" w:color="000000"/>
              <w:bottom w:val="single" w:sz="1" w:space="0" w:color="000000"/>
              <w:right w:val="single" w:sz="1" w:space="0" w:color="000000"/>
            </w:tcBorders>
          </w:tcPr>
          <w:p w14:paraId="2A35EE8E" w14:textId="7C235B21"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Yes </w:t>
            </w:r>
          </w:p>
        </w:tc>
        <w:tc>
          <w:tcPr>
            <w:tcW w:w="0" w:type="auto"/>
            <w:tcBorders>
              <w:top w:val="single" w:sz="1" w:space="0" w:color="000000"/>
              <w:bottom w:val="single" w:sz="1" w:space="0" w:color="000000"/>
            </w:tcBorders>
          </w:tcPr>
          <w:p w14:paraId="2A35EE8F" w14:textId="736BFDF7"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Needed for legitimacy, continuity, and coordination. </w:t>
            </w:r>
          </w:p>
        </w:tc>
      </w:tr>
      <w:tr w:rsidR="00716BE6" w:rsidRPr="00E6691B" w14:paraId="2A35EE95"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91"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Cultural fit and local acceptance</w:t>
            </w:r>
          </w:p>
        </w:tc>
        <w:tc>
          <w:tcPr>
            <w:tcW w:w="0" w:type="auto"/>
            <w:tcBorders>
              <w:top w:val="single" w:sz="1" w:space="0" w:color="000000"/>
              <w:bottom w:val="single" w:sz="1" w:space="0" w:color="000000"/>
              <w:right w:val="single" w:sz="1" w:space="0" w:color="000000"/>
            </w:tcBorders>
          </w:tcPr>
          <w:p w14:paraId="2A35EE92" w14:textId="10FAEC09"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Must-have in practice </w:t>
            </w:r>
          </w:p>
        </w:tc>
        <w:tc>
          <w:tcPr>
            <w:tcW w:w="0" w:type="auto"/>
            <w:tcBorders>
              <w:top w:val="single" w:sz="1" w:space="0" w:color="000000"/>
              <w:bottom w:val="single" w:sz="1" w:space="0" w:color="000000"/>
              <w:right w:val="single" w:sz="1" w:space="0" w:color="000000"/>
            </w:tcBorders>
          </w:tcPr>
          <w:p w14:paraId="2A35EE93" w14:textId="053DE020"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Yes </w:t>
            </w:r>
          </w:p>
        </w:tc>
        <w:tc>
          <w:tcPr>
            <w:tcW w:w="0" w:type="auto"/>
            <w:tcBorders>
              <w:top w:val="single" w:sz="1" w:space="0" w:color="000000"/>
              <w:bottom w:val="single" w:sz="1" w:space="0" w:color="000000"/>
            </w:tcBorders>
          </w:tcPr>
          <w:p w14:paraId="2A35EE94" w14:textId="31CBF0B6"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The draft flags cultural or political gaps as possible barriers if not managed. </w:t>
            </w:r>
          </w:p>
        </w:tc>
      </w:tr>
      <w:tr w:rsidR="00716BE6" w:rsidRPr="00E6691B" w14:paraId="2A35EE9A"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96"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Link to legal WEEE collection route</w:t>
            </w:r>
          </w:p>
        </w:tc>
        <w:tc>
          <w:tcPr>
            <w:tcW w:w="0" w:type="auto"/>
            <w:tcBorders>
              <w:top w:val="single" w:sz="1" w:space="0" w:color="000000"/>
              <w:bottom w:val="single" w:sz="1" w:space="0" w:color="000000"/>
              <w:right w:val="single" w:sz="1" w:space="0" w:color="000000"/>
            </w:tcBorders>
          </w:tcPr>
          <w:p w14:paraId="2A35EE97" w14:textId="77DE3BB9" w:rsidR="00716BE6" w:rsidRPr="00E6691B" w:rsidRDefault="005A1987">
            <w:pPr>
              <w:spacing w:line="360" w:lineRule="auto"/>
              <w:rPr>
                <w:rFonts w:asciiTheme="minorHAnsi"/>
              </w:rPr>
            </w:pPr>
            <w:r w:rsidRPr="00E6691B">
              <w:rPr>
                <w:rFonts w:asciiTheme="minorHAnsi" w:eastAsia="Helvetica Neue" w:cs="Helvetica Neue"/>
                <w:color w:val="000000"/>
                <w:sz w:val="17"/>
              </w:rPr>
              <w:t>Must-have [file:5]</w:t>
            </w:r>
          </w:p>
        </w:tc>
        <w:tc>
          <w:tcPr>
            <w:tcW w:w="0" w:type="auto"/>
            <w:tcBorders>
              <w:top w:val="single" w:sz="1" w:space="0" w:color="000000"/>
              <w:bottom w:val="single" w:sz="1" w:space="0" w:color="000000"/>
              <w:right w:val="single" w:sz="1" w:space="0" w:color="000000"/>
            </w:tcBorders>
          </w:tcPr>
          <w:p w14:paraId="2A35EE98" w14:textId="23A61E99"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Partial to Yes </w:t>
            </w:r>
          </w:p>
        </w:tc>
        <w:tc>
          <w:tcPr>
            <w:tcW w:w="0" w:type="auto"/>
            <w:tcBorders>
              <w:top w:val="single" w:sz="1" w:space="0" w:color="000000"/>
              <w:bottom w:val="single" w:sz="1" w:space="0" w:color="000000"/>
            </w:tcBorders>
          </w:tcPr>
          <w:p w14:paraId="2A35EE99" w14:textId="36F086C2"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Especially important where public collection is regulated or restricted. </w:t>
            </w:r>
          </w:p>
        </w:tc>
      </w:tr>
      <w:tr w:rsidR="00716BE6" w:rsidRPr="00E6691B" w14:paraId="2A35EE9F"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9B"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Dedicated coordination capacity</w:t>
            </w:r>
          </w:p>
        </w:tc>
        <w:tc>
          <w:tcPr>
            <w:tcW w:w="0" w:type="auto"/>
            <w:tcBorders>
              <w:top w:val="single" w:sz="1" w:space="0" w:color="000000"/>
              <w:bottom w:val="single" w:sz="1" w:space="0" w:color="000000"/>
              <w:right w:val="single" w:sz="1" w:space="0" w:color="000000"/>
            </w:tcBorders>
          </w:tcPr>
          <w:p w14:paraId="2A35EE9C" w14:textId="446E9CA3"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Must-have </w:t>
            </w:r>
          </w:p>
        </w:tc>
        <w:tc>
          <w:tcPr>
            <w:tcW w:w="0" w:type="auto"/>
            <w:tcBorders>
              <w:top w:val="single" w:sz="1" w:space="0" w:color="000000"/>
              <w:bottom w:val="single" w:sz="1" w:space="0" w:color="000000"/>
              <w:right w:val="single" w:sz="1" w:space="0" w:color="000000"/>
            </w:tcBorders>
          </w:tcPr>
          <w:p w14:paraId="2A35EE9D" w14:textId="627C0316"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Yes </w:t>
            </w:r>
          </w:p>
        </w:tc>
        <w:tc>
          <w:tcPr>
            <w:tcW w:w="0" w:type="auto"/>
            <w:tcBorders>
              <w:top w:val="single" w:sz="1" w:space="0" w:color="000000"/>
              <w:bottom w:val="single" w:sz="1" w:space="0" w:color="000000"/>
            </w:tcBorders>
          </w:tcPr>
          <w:p w14:paraId="2A35EE9E" w14:textId="4A8F5615"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A coordinator and school focal points are repeatedly implied as critical. </w:t>
            </w:r>
          </w:p>
        </w:tc>
      </w:tr>
    </w:tbl>
    <w:p w14:paraId="2A35EEA0" w14:textId="77777777" w:rsidR="00716BE6" w:rsidRPr="00E6691B" w:rsidRDefault="00716BE6">
      <w:pPr>
        <w:rPr>
          <w:rFonts w:asciiTheme="minorHAnsi"/>
        </w:rPr>
      </w:pPr>
    </w:p>
    <w:p w14:paraId="2A35EEA1" w14:textId="77777777" w:rsidR="00716BE6" w:rsidRPr="00E6691B" w:rsidRDefault="005A1987">
      <w:pPr>
        <w:spacing w:before="315" w:after="105" w:line="360" w:lineRule="auto"/>
        <w:ind w:left="-30"/>
        <w:rPr>
          <w:rFonts w:asciiTheme="minorHAnsi"/>
        </w:rPr>
      </w:pPr>
      <w:bookmarkStart w:id="28" w:name="bm_6_2_main_barriers_and_mitigation"/>
      <w:r w:rsidRPr="00E6691B">
        <w:rPr>
          <w:rFonts w:asciiTheme="minorHAnsi" w:eastAsia="Georgia" w:cs="Georgia"/>
          <w:b/>
          <w:color w:val="000000"/>
          <w:sz w:val="24"/>
        </w:rPr>
        <w:t>6.2 Main barriers and mitigation</w:t>
      </w:r>
      <w:bookmarkEnd w:id="28"/>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2041"/>
        <w:gridCol w:w="1403"/>
        <w:gridCol w:w="922"/>
        <w:gridCol w:w="2591"/>
        <w:gridCol w:w="2547"/>
      </w:tblGrid>
      <w:tr w:rsidR="00716BE6" w:rsidRPr="00E6691B" w14:paraId="2A35EEA7"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A2"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Barrier</w:t>
            </w:r>
          </w:p>
        </w:tc>
        <w:tc>
          <w:tcPr>
            <w:tcW w:w="0" w:type="auto"/>
            <w:tcBorders>
              <w:top w:val="single" w:sz="1" w:space="0" w:color="000000"/>
              <w:bottom w:val="single" w:sz="1" w:space="0" w:color="000000"/>
              <w:right w:val="single" w:sz="1" w:space="0" w:color="000000"/>
            </w:tcBorders>
          </w:tcPr>
          <w:p w14:paraId="2A35EEA3"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Commonality</w:t>
            </w:r>
          </w:p>
        </w:tc>
        <w:tc>
          <w:tcPr>
            <w:tcW w:w="0" w:type="auto"/>
            <w:tcBorders>
              <w:top w:val="single" w:sz="1" w:space="0" w:color="000000"/>
              <w:bottom w:val="single" w:sz="1" w:space="0" w:color="000000"/>
              <w:right w:val="single" w:sz="1" w:space="0" w:color="000000"/>
            </w:tcBorders>
          </w:tcPr>
          <w:p w14:paraId="2A35EEA4"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Impact</w:t>
            </w:r>
          </w:p>
        </w:tc>
        <w:tc>
          <w:tcPr>
            <w:tcW w:w="0" w:type="auto"/>
            <w:tcBorders>
              <w:top w:val="single" w:sz="1" w:space="0" w:color="000000"/>
              <w:bottom w:val="single" w:sz="1" w:space="0" w:color="000000"/>
              <w:right w:val="single" w:sz="1" w:space="0" w:color="000000"/>
            </w:tcBorders>
          </w:tcPr>
          <w:p w14:paraId="2A35EEA5"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Mitigation applied</w:t>
            </w:r>
          </w:p>
        </w:tc>
        <w:tc>
          <w:tcPr>
            <w:tcW w:w="0" w:type="auto"/>
            <w:tcBorders>
              <w:top w:val="single" w:sz="1" w:space="0" w:color="000000"/>
              <w:bottom w:val="single" w:sz="1" w:space="0" w:color="000000"/>
            </w:tcBorders>
          </w:tcPr>
          <w:p w14:paraId="2A35EEA6"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What worked</w:t>
            </w:r>
          </w:p>
        </w:tc>
      </w:tr>
      <w:tr w:rsidR="00716BE6" w:rsidRPr="00E6691B" w14:paraId="2A35EEAD"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A8"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Organizational and scheduling problems</w:t>
            </w:r>
          </w:p>
        </w:tc>
        <w:tc>
          <w:tcPr>
            <w:tcW w:w="0" w:type="auto"/>
            <w:tcBorders>
              <w:top w:val="single" w:sz="1" w:space="0" w:color="000000"/>
              <w:bottom w:val="single" w:sz="1" w:space="0" w:color="000000"/>
              <w:right w:val="single" w:sz="1" w:space="0" w:color="000000"/>
            </w:tcBorders>
          </w:tcPr>
          <w:p w14:paraId="2A35EEA9" w14:textId="77E63D77"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Territory-specific </w:t>
            </w:r>
          </w:p>
        </w:tc>
        <w:tc>
          <w:tcPr>
            <w:tcW w:w="0" w:type="auto"/>
            <w:tcBorders>
              <w:top w:val="single" w:sz="1" w:space="0" w:color="000000"/>
              <w:bottom w:val="single" w:sz="1" w:space="0" w:color="000000"/>
              <w:right w:val="single" w:sz="1" w:space="0" w:color="000000"/>
            </w:tcBorders>
          </w:tcPr>
          <w:p w14:paraId="2A35EEAA" w14:textId="56D0F644"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Medium </w:t>
            </w:r>
          </w:p>
        </w:tc>
        <w:tc>
          <w:tcPr>
            <w:tcW w:w="0" w:type="auto"/>
            <w:tcBorders>
              <w:top w:val="single" w:sz="1" w:space="0" w:color="000000"/>
              <w:bottom w:val="single" w:sz="1" w:space="0" w:color="000000"/>
              <w:right w:val="single" w:sz="1" w:space="0" w:color="000000"/>
            </w:tcBorders>
          </w:tcPr>
          <w:p w14:paraId="2A35EEAB" w14:textId="29846818"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Train-the-trainers logic, early scheduling, clear school contacts. </w:t>
            </w:r>
          </w:p>
        </w:tc>
        <w:tc>
          <w:tcPr>
            <w:tcW w:w="0" w:type="auto"/>
            <w:tcBorders>
              <w:top w:val="single" w:sz="1" w:space="0" w:color="000000"/>
              <w:bottom w:val="single" w:sz="1" w:space="0" w:color="000000"/>
            </w:tcBorders>
          </w:tcPr>
          <w:p w14:paraId="2A35EEAC" w14:textId="579A2EF1"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Better continuity and easier delivery. </w:t>
            </w:r>
          </w:p>
        </w:tc>
      </w:tr>
      <w:tr w:rsidR="00716BE6" w:rsidRPr="00E6691B" w14:paraId="2A35EEB3"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AE"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lastRenderedPageBreak/>
              <w:t>Consideration of batteries as WEEE</w:t>
            </w:r>
          </w:p>
        </w:tc>
        <w:tc>
          <w:tcPr>
            <w:tcW w:w="0" w:type="auto"/>
            <w:tcBorders>
              <w:top w:val="single" w:sz="1" w:space="0" w:color="000000"/>
              <w:bottom w:val="single" w:sz="1" w:space="0" w:color="000000"/>
              <w:right w:val="single" w:sz="1" w:space="0" w:color="000000"/>
            </w:tcBorders>
          </w:tcPr>
          <w:p w14:paraId="2A35EEAF" w14:textId="5107C5AA"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Partial </w:t>
            </w:r>
          </w:p>
        </w:tc>
        <w:tc>
          <w:tcPr>
            <w:tcW w:w="0" w:type="auto"/>
            <w:tcBorders>
              <w:top w:val="single" w:sz="1" w:space="0" w:color="000000"/>
              <w:bottom w:val="single" w:sz="1" w:space="0" w:color="000000"/>
              <w:right w:val="single" w:sz="1" w:space="0" w:color="000000"/>
            </w:tcBorders>
          </w:tcPr>
          <w:p w14:paraId="2A35EEB0" w14:textId="3236FD19"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Medium </w:t>
            </w:r>
          </w:p>
        </w:tc>
        <w:tc>
          <w:tcPr>
            <w:tcW w:w="0" w:type="auto"/>
            <w:tcBorders>
              <w:top w:val="single" w:sz="1" w:space="0" w:color="000000"/>
              <w:bottom w:val="single" w:sz="1" w:space="0" w:color="000000"/>
              <w:right w:val="single" w:sz="1" w:space="0" w:color="000000"/>
            </w:tcBorders>
          </w:tcPr>
          <w:p w14:paraId="2A35EEB1" w14:textId="029888F8"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Educational clarification and explicit guidance. </w:t>
            </w:r>
          </w:p>
        </w:tc>
        <w:tc>
          <w:tcPr>
            <w:tcW w:w="0" w:type="auto"/>
            <w:tcBorders>
              <w:top w:val="single" w:sz="1" w:space="0" w:color="000000"/>
              <w:bottom w:val="single" w:sz="1" w:space="0" w:color="000000"/>
            </w:tcBorders>
          </w:tcPr>
          <w:p w14:paraId="2A35EEB2" w14:textId="30CB4040"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Reduced confusion and improved messaging consistency. </w:t>
            </w:r>
          </w:p>
        </w:tc>
      </w:tr>
      <w:tr w:rsidR="00716BE6" w:rsidRPr="00E6691B" w14:paraId="2A35EEB9"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B4"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Reaction due to political issues</w:t>
            </w:r>
          </w:p>
        </w:tc>
        <w:tc>
          <w:tcPr>
            <w:tcW w:w="0" w:type="auto"/>
            <w:tcBorders>
              <w:top w:val="single" w:sz="1" w:space="0" w:color="000000"/>
              <w:bottom w:val="single" w:sz="1" w:space="0" w:color="000000"/>
              <w:right w:val="single" w:sz="1" w:space="0" w:color="000000"/>
            </w:tcBorders>
          </w:tcPr>
          <w:p w14:paraId="2A35EEB5" w14:textId="006CACE6"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Territory-specific </w:t>
            </w:r>
          </w:p>
        </w:tc>
        <w:tc>
          <w:tcPr>
            <w:tcW w:w="0" w:type="auto"/>
            <w:tcBorders>
              <w:top w:val="single" w:sz="1" w:space="0" w:color="000000"/>
              <w:bottom w:val="single" w:sz="1" w:space="0" w:color="000000"/>
              <w:right w:val="single" w:sz="1" w:space="0" w:color="000000"/>
            </w:tcBorders>
          </w:tcPr>
          <w:p w14:paraId="2A35EEB6" w14:textId="6431AF45"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Medium </w:t>
            </w:r>
          </w:p>
        </w:tc>
        <w:tc>
          <w:tcPr>
            <w:tcW w:w="0" w:type="auto"/>
            <w:tcBorders>
              <w:top w:val="single" w:sz="1" w:space="0" w:color="000000"/>
              <w:bottom w:val="single" w:sz="1" w:space="0" w:color="000000"/>
              <w:right w:val="single" w:sz="1" w:space="0" w:color="000000"/>
            </w:tcBorders>
          </w:tcPr>
          <w:p w14:paraId="2A35EEB7" w14:textId="611DE15A"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Political or institutional action and endorsement. </w:t>
            </w:r>
          </w:p>
        </w:tc>
        <w:tc>
          <w:tcPr>
            <w:tcW w:w="0" w:type="auto"/>
            <w:tcBorders>
              <w:top w:val="single" w:sz="1" w:space="0" w:color="000000"/>
              <w:bottom w:val="single" w:sz="1" w:space="0" w:color="000000"/>
            </w:tcBorders>
          </w:tcPr>
          <w:p w14:paraId="2A35EEB8" w14:textId="525B2597"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Greater implementation stability. </w:t>
            </w:r>
          </w:p>
        </w:tc>
      </w:tr>
    </w:tbl>
    <w:p w14:paraId="2A35EEBA" w14:textId="77777777" w:rsidR="00716BE6" w:rsidRPr="00E6691B" w:rsidRDefault="00716BE6">
      <w:pPr>
        <w:rPr>
          <w:rFonts w:asciiTheme="minorHAnsi"/>
        </w:rPr>
      </w:pPr>
    </w:p>
    <w:p w14:paraId="2A35EEBB" w14:textId="77777777" w:rsidR="00716BE6" w:rsidRPr="00E6691B" w:rsidRDefault="005A1987">
      <w:pPr>
        <w:spacing w:before="315" w:after="105" w:line="360" w:lineRule="auto"/>
        <w:ind w:left="-30"/>
        <w:rPr>
          <w:rFonts w:asciiTheme="minorHAnsi"/>
        </w:rPr>
      </w:pPr>
      <w:bookmarkStart w:id="29" w:name="bm_7_adaptation_roadmap_for_new_t_4dbfe7"/>
      <w:r w:rsidRPr="00E6691B">
        <w:rPr>
          <w:rFonts w:asciiTheme="minorHAnsi" w:eastAsia="Georgia" w:cs="Georgia"/>
          <w:b/>
          <w:color w:val="000000"/>
          <w:sz w:val="24"/>
        </w:rPr>
        <w:t>7. Adaptation roadmap for new territories</w:t>
      </w:r>
      <w:bookmarkEnd w:id="29"/>
    </w:p>
    <w:p w14:paraId="2A35EEBC" w14:textId="77777777" w:rsidR="00716BE6" w:rsidRPr="00E6691B" w:rsidRDefault="005A1987">
      <w:pPr>
        <w:spacing w:before="315" w:after="105" w:line="360" w:lineRule="auto"/>
        <w:ind w:left="-30"/>
        <w:rPr>
          <w:rFonts w:asciiTheme="minorHAnsi"/>
        </w:rPr>
      </w:pPr>
      <w:bookmarkStart w:id="30" w:name="bm_7_1_core_model_what_stays_fixed"/>
      <w:r w:rsidRPr="00E6691B">
        <w:rPr>
          <w:rFonts w:asciiTheme="minorHAnsi" w:eastAsia="Georgia" w:cs="Georgia"/>
          <w:b/>
          <w:color w:val="000000"/>
          <w:sz w:val="24"/>
        </w:rPr>
        <w:t>7.1 Core model – what stays fixed</w:t>
      </w:r>
      <w:bookmarkEnd w:id="30"/>
    </w:p>
    <w:p w14:paraId="2A35EEBD" w14:textId="0DBE0147" w:rsidR="00716BE6" w:rsidRPr="00E6691B" w:rsidRDefault="005A1987">
      <w:pPr>
        <w:spacing w:after="210" w:line="360" w:lineRule="auto"/>
        <w:rPr>
          <w:rFonts w:asciiTheme="minorHAnsi"/>
        </w:rPr>
      </w:pPr>
      <w:r w:rsidRPr="00E6691B">
        <w:rPr>
          <w:rFonts w:asciiTheme="minorHAnsi" w:eastAsia="Georgia" w:cs="Georgia"/>
          <w:color w:val="000000"/>
        </w:rPr>
        <w:t xml:space="preserve">Three elements should remain fixed in replication: school partnerships, curriculum-linked or school-based WEEE education, and games or competitions as the behavioral activation mechanism. These are the most stable common features across the pilots and the clearest transnational identity of WEEE </w:t>
      </w:r>
      <w:proofErr w:type="gramStart"/>
      <w:r w:rsidRPr="00E6691B">
        <w:rPr>
          <w:rFonts w:asciiTheme="minorHAnsi" w:eastAsia="Georgia" w:cs="Georgia"/>
          <w:color w:val="000000"/>
        </w:rPr>
        <w:t>BEHAVE .</w:t>
      </w:r>
      <w:proofErr w:type="gramEnd"/>
    </w:p>
    <w:p w14:paraId="2A35EEBE" w14:textId="4D43B817" w:rsidR="00716BE6" w:rsidRPr="00E6691B" w:rsidRDefault="005A1987">
      <w:pPr>
        <w:spacing w:after="210" w:line="360" w:lineRule="auto"/>
        <w:rPr>
          <w:rFonts w:asciiTheme="minorHAnsi"/>
        </w:rPr>
      </w:pPr>
      <w:r w:rsidRPr="00E6691B">
        <w:rPr>
          <w:rFonts w:asciiTheme="minorHAnsi" w:eastAsia="Georgia" w:cs="Georgia"/>
          <w:color w:val="000000"/>
        </w:rPr>
        <w:t>The other fixed structural principle is the connection to a real disposal route. Even when the educational component is the most visible part, the model is stronger when it is tied to authorized collection channels and measurable operational outcomes [file:5].</w:t>
      </w:r>
    </w:p>
    <w:p w14:paraId="2A35EEBF" w14:textId="77777777" w:rsidR="00716BE6" w:rsidRPr="00E6691B" w:rsidRDefault="005A1987">
      <w:pPr>
        <w:spacing w:before="315" w:after="105" w:line="360" w:lineRule="auto"/>
        <w:ind w:left="-30"/>
        <w:rPr>
          <w:rFonts w:asciiTheme="minorHAnsi"/>
        </w:rPr>
      </w:pPr>
      <w:bookmarkStart w:id="31" w:name="bm_7_2_adaptation_elements_what_c_d27cd4"/>
      <w:r w:rsidRPr="00E6691B">
        <w:rPr>
          <w:rFonts w:asciiTheme="minorHAnsi" w:eastAsia="Georgia" w:cs="Georgia"/>
          <w:b/>
          <w:color w:val="000000"/>
          <w:sz w:val="24"/>
        </w:rPr>
        <w:t>7.2 Adaptation elements – what changes by context</w:t>
      </w:r>
      <w:bookmarkEnd w:id="31"/>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2194"/>
        <w:gridCol w:w="1834"/>
        <w:gridCol w:w="5476"/>
      </w:tblGrid>
      <w:tr w:rsidR="00716BE6" w:rsidRPr="00E6691B" w14:paraId="2A35EEC3"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C0"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Element</w:t>
            </w:r>
          </w:p>
        </w:tc>
        <w:tc>
          <w:tcPr>
            <w:tcW w:w="0" w:type="auto"/>
            <w:tcBorders>
              <w:top w:val="single" w:sz="1" w:space="0" w:color="000000"/>
              <w:bottom w:val="single" w:sz="1" w:space="0" w:color="000000"/>
              <w:right w:val="single" w:sz="1" w:space="0" w:color="000000"/>
            </w:tcBorders>
          </w:tcPr>
          <w:p w14:paraId="2A35EEC1"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Core approach</w:t>
            </w:r>
          </w:p>
        </w:tc>
        <w:tc>
          <w:tcPr>
            <w:tcW w:w="0" w:type="auto"/>
            <w:tcBorders>
              <w:top w:val="single" w:sz="1" w:space="0" w:color="000000"/>
              <w:bottom w:val="single" w:sz="1" w:space="0" w:color="000000"/>
            </w:tcBorders>
          </w:tcPr>
          <w:p w14:paraId="2A35EEC2"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Adaptation by territory type</w:t>
            </w:r>
          </w:p>
        </w:tc>
      </w:tr>
      <w:tr w:rsidR="00716BE6" w:rsidRPr="00E6691B" w14:paraId="2A35EEC7"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C4"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School permanence and access</w:t>
            </w:r>
          </w:p>
        </w:tc>
        <w:tc>
          <w:tcPr>
            <w:tcW w:w="0" w:type="auto"/>
            <w:tcBorders>
              <w:top w:val="single" w:sz="1" w:space="0" w:color="000000"/>
              <w:bottom w:val="single" w:sz="1" w:space="0" w:color="000000"/>
              <w:right w:val="single" w:sz="1" w:space="0" w:color="000000"/>
            </w:tcBorders>
          </w:tcPr>
          <w:p w14:paraId="2A35EEC5" w14:textId="39FA2625"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Standard school-based model </w:t>
            </w:r>
          </w:p>
        </w:tc>
        <w:tc>
          <w:tcPr>
            <w:tcW w:w="0" w:type="auto"/>
            <w:tcBorders>
              <w:top w:val="single" w:sz="1" w:space="0" w:color="000000"/>
              <w:bottom w:val="single" w:sz="1" w:space="0" w:color="000000"/>
            </w:tcBorders>
          </w:tcPr>
          <w:p w14:paraId="2A35EEC6" w14:textId="4C962079"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Urban contexts can scale through larger school systems; rural contexts require clustering and lighter coordination. </w:t>
            </w:r>
          </w:p>
        </w:tc>
      </w:tr>
      <w:tr w:rsidR="00716BE6" w:rsidRPr="00E6691B" w14:paraId="2A35EECB"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C8"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Teacher support</w:t>
            </w:r>
          </w:p>
        </w:tc>
        <w:tc>
          <w:tcPr>
            <w:tcW w:w="0" w:type="auto"/>
            <w:tcBorders>
              <w:top w:val="single" w:sz="1" w:space="0" w:color="000000"/>
              <w:bottom w:val="single" w:sz="1" w:space="0" w:color="000000"/>
              <w:right w:val="single" w:sz="1" w:space="0" w:color="000000"/>
            </w:tcBorders>
          </w:tcPr>
          <w:p w14:paraId="2A35EEC9" w14:textId="3668A34A"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Standard but variable in intensity </w:t>
            </w:r>
          </w:p>
        </w:tc>
        <w:tc>
          <w:tcPr>
            <w:tcW w:w="0" w:type="auto"/>
            <w:tcBorders>
              <w:top w:val="single" w:sz="1" w:space="0" w:color="000000"/>
              <w:bottom w:val="single" w:sz="1" w:space="0" w:color="000000"/>
            </w:tcBorders>
          </w:tcPr>
          <w:p w14:paraId="2A35EECA" w14:textId="674D25D9"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Higher-capacity schools can take more implementation responsibility; lower-capacity schools may need more external facilitation. </w:t>
            </w:r>
          </w:p>
        </w:tc>
      </w:tr>
      <w:tr w:rsidR="00716BE6" w:rsidRPr="00E6691B" w14:paraId="2A35EECF"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CC"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Partnership with WEEE collection services</w:t>
            </w:r>
          </w:p>
        </w:tc>
        <w:tc>
          <w:tcPr>
            <w:tcW w:w="0" w:type="auto"/>
            <w:tcBorders>
              <w:top w:val="single" w:sz="1" w:space="0" w:color="000000"/>
              <w:bottom w:val="single" w:sz="1" w:space="0" w:color="000000"/>
              <w:right w:val="single" w:sz="1" w:space="0" w:color="000000"/>
            </w:tcBorders>
          </w:tcPr>
          <w:p w14:paraId="2A35EECD" w14:textId="15B1D91D"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Standard closing-the-loop function </w:t>
            </w:r>
          </w:p>
        </w:tc>
        <w:tc>
          <w:tcPr>
            <w:tcW w:w="0" w:type="auto"/>
            <w:tcBorders>
              <w:top w:val="single" w:sz="1" w:space="0" w:color="000000"/>
              <w:bottom w:val="single" w:sz="1" w:space="0" w:color="000000"/>
            </w:tcBorders>
          </w:tcPr>
          <w:p w14:paraId="2A35EECE" w14:textId="62E2FADC"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In supportive regulatory settings, collection can be more visible and direct; in neutral or restrictive settings, routes must be legally redesigned. </w:t>
            </w:r>
          </w:p>
        </w:tc>
      </w:tr>
    </w:tbl>
    <w:p w14:paraId="2A35EED0" w14:textId="77777777" w:rsidR="00716BE6" w:rsidRPr="00E6691B" w:rsidRDefault="00716BE6">
      <w:pPr>
        <w:rPr>
          <w:rFonts w:asciiTheme="minorHAnsi"/>
        </w:rPr>
      </w:pPr>
    </w:p>
    <w:p w14:paraId="2A35EED1" w14:textId="77777777" w:rsidR="00716BE6" w:rsidRPr="00E6691B" w:rsidRDefault="005A1987">
      <w:pPr>
        <w:spacing w:before="315" w:after="105" w:line="360" w:lineRule="auto"/>
        <w:ind w:left="-30"/>
        <w:rPr>
          <w:rFonts w:asciiTheme="minorHAnsi"/>
        </w:rPr>
      </w:pPr>
      <w:bookmarkStart w:id="32" w:name="bm_7_3_replication_timeline_infor_dc90ed"/>
      <w:r w:rsidRPr="00E6691B">
        <w:rPr>
          <w:rFonts w:asciiTheme="minorHAnsi" w:eastAsia="Georgia" w:cs="Georgia"/>
          <w:b/>
          <w:color w:val="000000"/>
          <w:sz w:val="24"/>
        </w:rPr>
        <w:t>7.3 Replication timeline informed by WP2</w:t>
      </w:r>
      <w:bookmarkEnd w:id="32"/>
    </w:p>
    <w:p w14:paraId="2A35EED2" w14:textId="38BEB525" w:rsidR="00716BE6" w:rsidRPr="00E6691B" w:rsidRDefault="005A1987">
      <w:pPr>
        <w:spacing w:after="210" w:line="360" w:lineRule="auto"/>
        <w:rPr>
          <w:rFonts w:asciiTheme="minorHAnsi"/>
        </w:rPr>
      </w:pPr>
      <w:r w:rsidRPr="00E6691B">
        <w:rPr>
          <w:rFonts w:asciiTheme="minorHAnsi" w:eastAsia="Georgia" w:cs="Georgia"/>
          <w:color w:val="000000"/>
        </w:rPr>
        <w:t xml:space="preserve">The revised draft suggests that a realistic first-cycle replication period is around 4 to 6 months, depending on territorial scale, regulatory conditions, and how many schools are involved. UCPB, </w:t>
      </w:r>
      <w:proofErr w:type="spellStart"/>
      <w:r w:rsidRPr="00E6691B">
        <w:rPr>
          <w:rFonts w:asciiTheme="minorHAnsi" w:eastAsia="Georgia" w:cs="Georgia"/>
          <w:color w:val="000000"/>
        </w:rPr>
        <w:t>Rethymno</w:t>
      </w:r>
      <w:proofErr w:type="spellEnd"/>
      <w:r w:rsidRPr="00E6691B">
        <w:rPr>
          <w:rFonts w:asciiTheme="minorHAnsi" w:eastAsia="Georgia" w:cs="Georgia"/>
          <w:color w:val="000000"/>
        </w:rPr>
        <w:t xml:space="preserve">, and </w:t>
      </w:r>
      <w:r w:rsidRPr="00E6691B">
        <w:rPr>
          <w:rFonts w:asciiTheme="minorHAnsi" w:eastAsia="Georgia" w:cs="Georgia"/>
          <w:color w:val="000000"/>
        </w:rPr>
        <w:lastRenderedPageBreak/>
        <w:t xml:space="preserve">Málaga all support a model in which approximately 1 month is needed for setup and training, followed by a </w:t>
      </w:r>
      <w:proofErr w:type="gramStart"/>
      <w:r w:rsidRPr="00E6691B">
        <w:rPr>
          <w:rFonts w:asciiTheme="minorHAnsi" w:eastAsia="Georgia" w:cs="Georgia"/>
          <w:color w:val="000000"/>
        </w:rPr>
        <w:t>2 to 4 month</w:t>
      </w:r>
      <w:proofErr w:type="gramEnd"/>
      <w:r w:rsidRPr="00E6691B">
        <w:rPr>
          <w:rFonts w:asciiTheme="minorHAnsi" w:eastAsia="Georgia" w:cs="Georgia"/>
          <w:color w:val="000000"/>
        </w:rPr>
        <w:t xml:space="preserve"> active implementation phase and ongoing scaling </w:t>
      </w:r>
      <w:proofErr w:type="gramStart"/>
      <w:r w:rsidRPr="00E6691B">
        <w:rPr>
          <w:rFonts w:asciiTheme="minorHAnsi" w:eastAsia="Georgia" w:cs="Georgia"/>
          <w:color w:val="000000"/>
        </w:rPr>
        <w:t>thereafter .</w:t>
      </w:r>
      <w:proofErr w:type="gramEnd"/>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801"/>
        <w:gridCol w:w="1279"/>
        <w:gridCol w:w="4014"/>
        <w:gridCol w:w="2410"/>
      </w:tblGrid>
      <w:tr w:rsidR="00716BE6" w:rsidRPr="00E6691B" w14:paraId="2A35EED7"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D3"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Phase</w:t>
            </w:r>
          </w:p>
        </w:tc>
        <w:tc>
          <w:tcPr>
            <w:tcW w:w="0" w:type="auto"/>
            <w:tcBorders>
              <w:top w:val="single" w:sz="1" w:space="0" w:color="000000"/>
              <w:bottom w:val="single" w:sz="1" w:space="0" w:color="000000"/>
              <w:right w:val="single" w:sz="1" w:space="0" w:color="000000"/>
            </w:tcBorders>
          </w:tcPr>
          <w:p w14:paraId="2A35EED4"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Duration</w:t>
            </w:r>
          </w:p>
        </w:tc>
        <w:tc>
          <w:tcPr>
            <w:tcW w:w="0" w:type="auto"/>
            <w:tcBorders>
              <w:top w:val="single" w:sz="1" w:space="0" w:color="000000"/>
              <w:bottom w:val="single" w:sz="1" w:space="0" w:color="000000"/>
              <w:right w:val="single" w:sz="1" w:space="0" w:color="000000"/>
            </w:tcBorders>
          </w:tcPr>
          <w:p w14:paraId="2A35EED5"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Key actions</w:t>
            </w:r>
          </w:p>
        </w:tc>
        <w:tc>
          <w:tcPr>
            <w:tcW w:w="0" w:type="auto"/>
            <w:tcBorders>
              <w:top w:val="single" w:sz="1" w:space="0" w:color="000000"/>
              <w:bottom w:val="single" w:sz="1" w:space="0" w:color="000000"/>
            </w:tcBorders>
          </w:tcPr>
          <w:p w14:paraId="2A35EED6"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Critical success factor</w:t>
            </w:r>
          </w:p>
        </w:tc>
      </w:tr>
      <w:tr w:rsidR="001C6F52" w:rsidRPr="00E6691B" w14:paraId="2A35EEDC" w14:textId="77777777" w:rsidTr="00652718">
        <w:trPr>
          <w:cantSplit/>
          <w:tblCellSpacing w:w="0" w:type="dxa"/>
          <w:jc w:val="center"/>
        </w:trPr>
        <w:tc>
          <w:tcPr>
            <w:tcW w:w="0" w:type="auto"/>
            <w:tcBorders>
              <w:top w:val="single" w:sz="1" w:space="0" w:color="000000"/>
              <w:bottom w:val="single" w:sz="1" w:space="0" w:color="000000"/>
              <w:right w:val="single" w:sz="1" w:space="0" w:color="000000"/>
            </w:tcBorders>
          </w:tcPr>
          <w:p w14:paraId="2A35EED8" w14:textId="77777777"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Stakeholder engagement</w:t>
            </w:r>
          </w:p>
        </w:tc>
        <w:tc>
          <w:tcPr>
            <w:tcW w:w="0" w:type="auto"/>
            <w:tcBorders>
              <w:top w:val="single" w:sz="1" w:space="0" w:color="000000"/>
              <w:bottom w:val="single" w:sz="1" w:space="0" w:color="000000"/>
              <w:right w:val="single" w:sz="1" w:space="0" w:color="000000"/>
            </w:tcBorders>
          </w:tcPr>
          <w:p w14:paraId="2A35EED9" w14:textId="07382383"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 xml:space="preserve">About 1 month </w:t>
            </w:r>
          </w:p>
        </w:tc>
        <w:tc>
          <w:tcPr>
            <w:tcW w:w="0" w:type="auto"/>
            <w:tcBorders>
              <w:top w:val="single" w:sz="1" w:space="0" w:color="000000"/>
              <w:bottom w:val="single" w:sz="1" w:space="0" w:color="000000"/>
              <w:right w:val="single" w:sz="1" w:space="0" w:color="000000"/>
            </w:tcBorders>
          </w:tcPr>
          <w:p w14:paraId="2A35EEDA" w14:textId="0FB70E9E"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 xml:space="preserve">Secure commitment from schools, municipality, education actors, and waste operators. </w:t>
            </w:r>
          </w:p>
        </w:tc>
        <w:tc>
          <w:tcPr>
            <w:tcW w:w="0" w:type="auto"/>
            <w:tcBorders>
              <w:top w:val="single" w:sz="1" w:space="0" w:color="000000"/>
              <w:bottom w:val="single" w:sz="1" w:space="0" w:color="000000"/>
            </w:tcBorders>
            <w:vAlign w:val="center"/>
          </w:tcPr>
          <w:p w14:paraId="2A35EEDB" w14:textId="0F4B5F6B" w:rsidR="001C6F52" w:rsidRPr="007541FE" w:rsidRDefault="001C6F52" w:rsidP="001C6F52">
            <w:pPr>
              <w:spacing w:line="360" w:lineRule="auto"/>
              <w:rPr>
                <w:rFonts w:asciiTheme="majorHAnsi" w:hAnsiTheme="majorHAnsi"/>
                <w:sz w:val="17"/>
                <w:szCs w:val="17"/>
              </w:rPr>
            </w:pPr>
            <w:r w:rsidRPr="007541FE">
              <w:rPr>
                <w:rFonts w:asciiTheme="majorHAnsi" w:hAnsiTheme="majorHAnsi" w:cs="Calibri"/>
                <w:sz w:val="17"/>
                <w:szCs w:val="17"/>
              </w:rPr>
              <w:t xml:space="preserve">Expand to more schools, grades, or annual cycles. </w:t>
            </w:r>
          </w:p>
        </w:tc>
      </w:tr>
      <w:tr w:rsidR="001C6F52" w:rsidRPr="00E6691B" w14:paraId="2A35EEE1" w14:textId="77777777" w:rsidTr="00652718">
        <w:trPr>
          <w:cantSplit/>
          <w:tblCellSpacing w:w="0" w:type="dxa"/>
          <w:jc w:val="center"/>
        </w:trPr>
        <w:tc>
          <w:tcPr>
            <w:tcW w:w="0" w:type="auto"/>
            <w:tcBorders>
              <w:top w:val="single" w:sz="1" w:space="0" w:color="000000"/>
              <w:bottom w:val="single" w:sz="1" w:space="0" w:color="000000"/>
              <w:right w:val="single" w:sz="1" w:space="0" w:color="000000"/>
            </w:tcBorders>
          </w:tcPr>
          <w:p w14:paraId="2A35EEDD" w14:textId="77777777"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Setup and training</w:t>
            </w:r>
          </w:p>
        </w:tc>
        <w:tc>
          <w:tcPr>
            <w:tcW w:w="0" w:type="auto"/>
            <w:tcBorders>
              <w:top w:val="single" w:sz="1" w:space="0" w:color="000000"/>
              <w:bottom w:val="single" w:sz="1" w:space="0" w:color="000000"/>
              <w:right w:val="single" w:sz="1" w:space="0" w:color="000000"/>
            </w:tcBorders>
          </w:tcPr>
          <w:p w14:paraId="2A35EEDE" w14:textId="4B7EA381"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 xml:space="preserve">About 1 month </w:t>
            </w:r>
          </w:p>
        </w:tc>
        <w:tc>
          <w:tcPr>
            <w:tcW w:w="0" w:type="auto"/>
            <w:tcBorders>
              <w:top w:val="single" w:sz="1" w:space="0" w:color="000000"/>
              <w:bottom w:val="single" w:sz="1" w:space="0" w:color="000000"/>
              <w:right w:val="single" w:sz="1" w:space="0" w:color="000000"/>
            </w:tcBorders>
          </w:tcPr>
          <w:p w14:paraId="2A35EEDF" w14:textId="545366E6"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 xml:space="preserve">Prepare materials, train facilitators, define school calendar, confirm logistics and KPI tracking. </w:t>
            </w:r>
          </w:p>
        </w:tc>
        <w:tc>
          <w:tcPr>
            <w:tcW w:w="0" w:type="auto"/>
            <w:tcBorders>
              <w:top w:val="single" w:sz="1" w:space="0" w:color="000000"/>
              <w:bottom w:val="single" w:sz="1" w:space="0" w:color="000000"/>
            </w:tcBorders>
            <w:vAlign w:val="center"/>
          </w:tcPr>
          <w:p w14:paraId="2A35EEE0" w14:textId="42D3F335" w:rsidR="001C6F52" w:rsidRPr="007541FE" w:rsidRDefault="001C6F52" w:rsidP="001C6F52">
            <w:pPr>
              <w:spacing w:line="360" w:lineRule="auto"/>
              <w:rPr>
                <w:rFonts w:asciiTheme="majorHAnsi" w:hAnsiTheme="majorHAnsi"/>
                <w:sz w:val="17"/>
                <w:szCs w:val="17"/>
              </w:rPr>
            </w:pPr>
            <w:r w:rsidRPr="007541FE">
              <w:rPr>
                <w:rFonts w:asciiTheme="majorHAnsi" w:hAnsiTheme="majorHAnsi" w:cs="Calibri"/>
                <w:sz w:val="17"/>
                <w:szCs w:val="17"/>
              </w:rPr>
              <w:t>Ready-made kit delivery; ASET coordination</w:t>
            </w:r>
          </w:p>
        </w:tc>
      </w:tr>
      <w:tr w:rsidR="001C6F52" w:rsidRPr="00E6691B" w14:paraId="2A35EEE6" w14:textId="77777777" w:rsidTr="00652718">
        <w:trPr>
          <w:cantSplit/>
          <w:tblCellSpacing w:w="0" w:type="dxa"/>
          <w:jc w:val="center"/>
        </w:trPr>
        <w:tc>
          <w:tcPr>
            <w:tcW w:w="0" w:type="auto"/>
            <w:tcBorders>
              <w:top w:val="single" w:sz="1" w:space="0" w:color="000000"/>
              <w:bottom w:val="single" w:sz="1" w:space="0" w:color="000000"/>
              <w:right w:val="single" w:sz="1" w:space="0" w:color="000000"/>
            </w:tcBorders>
          </w:tcPr>
          <w:p w14:paraId="2A35EEE2" w14:textId="77777777"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Pilot implementation</w:t>
            </w:r>
          </w:p>
        </w:tc>
        <w:tc>
          <w:tcPr>
            <w:tcW w:w="0" w:type="auto"/>
            <w:tcBorders>
              <w:top w:val="single" w:sz="1" w:space="0" w:color="000000"/>
              <w:bottom w:val="single" w:sz="1" w:space="0" w:color="000000"/>
              <w:right w:val="single" w:sz="1" w:space="0" w:color="000000"/>
            </w:tcBorders>
          </w:tcPr>
          <w:p w14:paraId="2A35EEE3" w14:textId="6717E973"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 xml:space="preserve">About 2–4 months </w:t>
            </w:r>
          </w:p>
        </w:tc>
        <w:tc>
          <w:tcPr>
            <w:tcW w:w="0" w:type="auto"/>
            <w:tcBorders>
              <w:top w:val="single" w:sz="1" w:space="0" w:color="000000"/>
              <w:bottom w:val="single" w:sz="1" w:space="0" w:color="000000"/>
              <w:right w:val="single" w:sz="1" w:space="0" w:color="000000"/>
            </w:tcBorders>
          </w:tcPr>
          <w:p w14:paraId="2A35EEE4" w14:textId="1B63DB5D"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 xml:space="preserve">Run educational activities, competitions, outreach, and collection actions. </w:t>
            </w:r>
          </w:p>
        </w:tc>
        <w:tc>
          <w:tcPr>
            <w:tcW w:w="0" w:type="auto"/>
            <w:tcBorders>
              <w:top w:val="single" w:sz="1" w:space="0" w:color="000000"/>
              <w:bottom w:val="single" w:sz="1" w:space="0" w:color="000000"/>
            </w:tcBorders>
            <w:vAlign w:val="center"/>
          </w:tcPr>
          <w:p w14:paraId="2A35EEE5" w14:textId="48D8A5A6" w:rsidR="001C6F52" w:rsidRPr="007541FE" w:rsidRDefault="001C6F52" w:rsidP="001C6F52">
            <w:pPr>
              <w:spacing w:line="360" w:lineRule="auto"/>
              <w:rPr>
                <w:rFonts w:asciiTheme="majorHAnsi" w:hAnsiTheme="majorHAnsi"/>
                <w:sz w:val="17"/>
                <w:szCs w:val="17"/>
              </w:rPr>
            </w:pPr>
            <w:r w:rsidRPr="007541FE">
              <w:rPr>
                <w:rFonts w:asciiTheme="majorHAnsi" w:hAnsiTheme="majorHAnsi" w:cs="Calibri"/>
                <w:sz w:val="17"/>
                <w:szCs w:val="17"/>
              </w:rPr>
              <w:t>Continuous monitoring; teacher support hotline</w:t>
            </w:r>
          </w:p>
        </w:tc>
      </w:tr>
      <w:tr w:rsidR="001C6F52" w:rsidRPr="00E6691B" w14:paraId="2A35EEEB" w14:textId="77777777" w:rsidTr="00652718">
        <w:trPr>
          <w:cantSplit/>
          <w:tblCellSpacing w:w="0" w:type="dxa"/>
          <w:jc w:val="center"/>
        </w:trPr>
        <w:tc>
          <w:tcPr>
            <w:tcW w:w="0" w:type="auto"/>
            <w:tcBorders>
              <w:top w:val="single" w:sz="1" w:space="0" w:color="000000"/>
              <w:bottom w:val="single" w:sz="1" w:space="0" w:color="000000"/>
              <w:right w:val="single" w:sz="1" w:space="0" w:color="000000"/>
            </w:tcBorders>
          </w:tcPr>
          <w:p w14:paraId="2A35EEE7" w14:textId="77777777"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Full scale / repetition</w:t>
            </w:r>
          </w:p>
        </w:tc>
        <w:tc>
          <w:tcPr>
            <w:tcW w:w="0" w:type="auto"/>
            <w:tcBorders>
              <w:top w:val="single" w:sz="1" w:space="0" w:color="000000"/>
              <w:bottom w:val="single" w:sz="1" w:space="0" w:color="000000"/>
              <w:right w:val="single" w:sz="1" w:space="0" w:color="000000"/>
            </w:tcBorders>
          </w:tcPr>
          <w:p w14:paraId="2A35EEE8" w14:textId="07FD7B27"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 xml:space="preserve">Ongoing </w:t>
            </w:r>
          </w:p>
        </w:tc>
        <w:tc>
          <w:tcPr>
            <w:tcW w:w="0" w:type="auto"/>
            <w:tcBorders>
              <w:top w:val="single" w:sz="1" w:space="0" w:color="000000"/>
              <w:bottom w:val="single" w:sz="1" w:space="0" w:color="000000"/>
              <w:right w:val="single" w:sz="1" w:space="0" w:color="000000"/>
            </w:tcBorders>
          </w:tcPr>
          <w:p w14:paraId="2A35EEE9" w14:textId="226A394C" w:rsidR="001C6F52" w:rsidRPr="00E6691B" w:rsidRDefault="001C6F52" w:rsidP="001C6F52">
            <w:pPr>
              <w:spacing w:line="360" w:lineRule="auto"/>
              <w:rPr>
                <w:rFonts w:asciiTheme="minorHAnsi"/>
              </w:rPr>
            </w:pPr>
            <w:r w:rsidRPr="00E6691B">
              <w:rPr>
                <w:rFonts w:asciiTheme="minorHAnsi" w:eastAsia="Helvetica Neue" w:cs="Helvetica Neue"/>
                <w:color w:val="000000"/>
                <w:sz w:val="17"/>
              </w:rPr>
              <w:t xml:space="preserve">Expand to more schools, grades, or annual cycles. </w:t>
            </w:r>
          </w:p>
        </w:tc>
        <w:tc>
          <w:tcPr>
            <w:tcW w:w="0" w:type="auto"/>
            <w:tcBorders>
              <w:top w:val="single" w:sz="1" w:space="0" w:color="000000"/>
              <w:bottom w:val="single" w:sz="1" w:space="0" w:color="000000"/>
            </w:tcBorders>
            <w:vAlign w:val="center"/>
          </w:tcPr>
          <w:p w14:paraId="2A35EEEA" w14:textId="4ED20D2F" w:rsidR="001C6F52" w:rsidRPr="007541FE" w:rsidRDefault="001C6F52" w:rsidP="001C6F52">
            <w:pPr>
              <w:spacing w:line="360" w:lineRule="auto"/>
              <w:rPr>
                <w:rFonts w:asciiTheme="majorHAnsi" w:hAnsiTheme="majorHAnsi"/>
                <w:sz w:val="17"/>
                <w:szCs w:val="17"/>
              </w:rPr>
            </w:pPr>
            <w:r w:rsidRPr="007541FE">
              <w:rPr>
                <w:rFonts w:asciiTheme="majorHAnsi" w:hAnsiTheme="majorHAnsi" w:cs="Calibri"/>
                <w:sz w:val="17"/>
                <w:szCs w:val="17"/>
              </w:rPr>
              <w:t>Transparent reporting to municipalities</w:t>
            </w:r>
          </w:p>
        </w:tc>
      </w:tr>
      <w:tr w:rsidR="00716BE6" w:rsidRPr="00E6691B" w14:paraId="2A35EEF0"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EC"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Total to first deployment</w:t>
            </w:r>
          </w:p>
        </w:tc>
        <w:tc>
          <w:tcPr>
            <w:tcW w:w="0" w:type="auto"/>
            <w:tcBorders>
              <w:top w:val="single" w:sz="1" w:space="0" w:color="000000"/>
              <w:bottom w:val="single" w:sz="1" w:space="0" w:color="000000"/>
              <w:right w:val="single" w:sz="1" w:space="0" w:color="000000"/>
            </w:tcBorders>
          </w:tcPr>
          <w:p w14:paraId="2A35EEED" w14:textId="4579DDCA"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About </w:t>
            </w:r>
            <w:r w:rsidR="0039494D">
              <w:rPr>
                <w:rFonts w:asciiTheme="minorHAnsi" w:eastAsia="Helvetica Neue" w:cs="Helvetica Neue"/>
                <w:color w:val="000000"/>
                <w:sz w:val="17"/>
              </w:rPr>
              <w:t xml:space="preserve">5 </w:t>
            </w:r>
            <w:r w:rsidRPr="00E6691B">
              <w:rPr>
                <w:rFonts w:asciiTheme="minorHAnsi" w:eastAsia="Helvetica Neue" w:cs="Helvetica Neue"/>
                <w:color w:val="000000"/>
                <w:sz w:val="17"/>
              </w:rPr>
              <w:t xml:space="preserve">months </w:t>
            </w:r>
          </w:p>
        </w:tc>
        <w:tc>
          <w:tcPr>
            <w:tcW w:w="0" w:type="auto"/>
            <w:tcBorders>
              <w:top w:val="single" w:sz="1" w:space="0" w:color="000000"/>
              <w:bottom w:val="single" w:sz="1" w:space="0" w:color="000000"/>
              <w:right w:val="single" w:sz="1" w:space="0" w:color="000000"/>
            </w:tcBorders>
          </w:tcPr>
          <w:p w14:paraId="2A35EEEE"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w:t>
            </w:r>
          </w:p>
        </w:tc>
        <w:tc>
          <w:tcPr>
            <w:tcW w:w="0" w:type="auto"/>
            <w:tcBorders>
              <w:top w:val="single" w:sz="1" w:space="0" w:color="000000"/>
              <w:bottom w:val="single" w:sz="1" w:space="0" w:color="000000"/>
            </w:tcBorders>
          </w:tcPr>
          <w:p w14:paraId="2A35EEEF" w14:textId="77777777" w:rsidR="00716BE6" w:rsidRPr="007541FE" w:rsidRDefault="005A1987">
            <w:pPr>
              <w:spacing w:line="360" w:lineRule="auto"/>
              <w:rPr>
                <w:rFonts w:asciiTheme="majorHAnsi" w:hAnsiTheme="majorHAnsi"/>
                <w:sz w:val="17"/>
                <w:szCs w:val="17"/>
              </w:rPr>
            </w:pPr>
            <w:r w:rsidRPr="007541FE">
              <w:rPr>
                <w:rFonts w:asciiTheme="majorHAnsi" w:eastAsia="Helvetica Neue" w:hAnsiTheme="majorHAnsi" w:cs="Helvetica Neue"/>
                <w:color w:val="000000"/>
                <w:sz w:val="17"/>
                <w:szCs w:val="17"/>
              </w:rPr>
              <w:t>—</w:t>
            </w:r>
          </w:p>
        </w:tc>
      </w:tr>
    </w:tbl>
    <w:p w14:paraId="2A35EEF1" w14:textId="77777777" w:rsidR="00716BE6" w:rsidRPr="00E6691B" w:rsidRDefault="00716BE6">
      <w:pPr>
        <w:rPr>
          <w:rFonts w:asciiTheme="minorHAnsi"/>
        </w:rPr>
      </w:pPr>
    </w:p>
    <w:p w14:paraId="2A35EEF2" w14:textId="77777777" w:rsidR="00716BE6" w:rsidRPr="00E6691B" w:rsidRDefault="005A1987">
      <w:pPr>
        <w:spacing w:before="315" w:after="105" w:line="360" w:lineRule="auto"/>
        <w:ind w:left="-30"/>
        <w:rPr>
          <w:rFonts w:asciiTheme="minorHAnsi"/>
        </w:rPr>
      </w:pPr>
      <w:bookmarkStart w:id="33" w:name="bm_8_governance_and_policy_recomm_9c0cae"/>
      <w:r w:rsidRPr="00E6691B">
        <w:rPr>
          <w:rFonts w:asciiTheme="minorHAnsi" w:eastAsia="Georgia" w:cs="Georgia"/>
          <w:b/>
          <w:color w:val="000000"/>
          <w:sz w:val="24"/>
        </w:rPr>
        <w:t>8. Governance and policy recommendations</w:t>
      </w:r>
      <w:bookmarkEnd w:id="33"/>
    </w:p>
    <w:p w14:paraId="2A35EEF3" w14:textId="77777777" w:rsidR="00716BE6" w:rsidRPr="00E6691B" w:rsidRDefault="005A1987">
      <w:pPr>
        <w:spacing w:before="315" w:after="105" w:line="360" w:lineRule="auto"/>
        <w:ind w:left="-30"/>
        <w:rPr>
          <w:rFonts w:asciiTheme="minorHAnsi"/>
        </w:rPr>
      </w:pPr>
      <w:bookmarkStart w:id="34" w:name="bm_8_1_legislation_and_policy_sup_f9196f"/>
      <w:r w:rsidRPr="00E6691B">
        <w:rPr>
          <w:rFonts w:asciiTheme="minorHAnsi" w:eastAsia="Georgia" w:cs="Georgia"/>
          <w:b/>
          <w:color w:val="000000"/>
          <w:sz w:val="24"/>
        </w:rPr>
        <w:t>8.1 Legislation and policy support needed</w:t>
      </w:r>
      <w:bookmarkEnd w:id="34"/>
    </w:p>
    <w:p w14:paraId="2A35EEF4" w14:textId="56B2A52C" w:rsidR="00716BE6" w:rsidRPr="00E6691B" w:rsidRDefault="005A1987">
      <w:pPr>
        <w:spacing w:after="210" w:line="360" w:lineRule="auto"/>
        <w:rPr>
          <w:rFonts w:asciiTheme="minorHAnsi"/>
        </w:rPr>
      </w:pPr>
      <w:r w:rsidRPr="00E6691B">
        <w:rPr>
          <w:rFonts w:asciiTheme="minorHAnsi" w:eastAsia="Georgia" w:cs="Georgia"/>
          <w:color w:val="000000"/>
        </w:rPr>
        <w:t xml:space="preserve">The revised draft confirms that WEEE BEHAVE scales best when awareness campaigns are institutionalized rather than left to voluntary, one-off initiatives. The most transferable policy needs across territories are the formal inclusion of WEEE awareness actions in municipal or regional waste plans, stronger links between school education and circular economy content, and formal cooperation frameworks connecting municipalities, schools, and authorized WEEE </w:t>
      </w:r>
      <w:proofErr w:type="gramStart"/>
      <w:r w:rsidRPr="00E6691B">
        <w:rPr>
          <w:rFonts w:asciiTheme="minorHAnsi" w:eastAsia="Georgia" w:cs="Georgia"/>
          <w:color w:val="000000"/>
        </w:rPr>
        <w:t>actors .</w:t>
      </w:r>
      <w:proofErr w:type="gramEnd"/>
    </w:p>
    <w:p w14:paraId="2A35EEF5" w14:textId="77777777" w:rsidR="00716BE6" w:rsidRPr="00E6691B" w:rsidRDefault="005A1987">
      <w:pPr>
        <w:spacing w:after="210" w:line="360" w:lineRule="auto"/>
        <w:rPr>
          <w:rFonts w:asciiTheme="minorHAnsi"/>
        </w:rPr>
      </w:pPr>
      <w:r w:rsidRPr="00E6691B">
        <w:rPr>
          <w:rFonts w:asciiTheme="minorHAnsi" w:eastAsia="Georgia" w:cs="Georgia"/>
          <w:color w:val="000000"/>
        </w:rPr>
        <w:t>The territorial contributions are detailed and country-specific, but they converge on three broadly representative policy priorities:</w:t>
      </w:r>
    </w:p>
    <w:p w14:paraId="2A35EEF6" w14:textId="1E776DC5" w:rsidR="00716BE6" w:rsidRPr="00E6691B" w:rsidRDefault="005A1987">
      <w:pPr>
        <w:numPr>
          <w:ilvl w:val="0"/>
          <w:numId w:val="6"/>
        </w:numPr>
        <w:spacing w:before="105" w:after="105" w:line="360" w:lineRule="auto"/>
        <w:rPr>
          <w:rFonts w:asciiTheme="minorHAnsi"/>
        </w:rPr>
      </w:pPr>
      <w:r w:rsidRPr="00E6691B">
        <w:rPr>
          <w:rFonts w:asciiTheme="minorHAnsi" w:eastAsia="Georgia" w:cs="Georgia"/>
          <w:color w:val="000000"/>
        </w:rPr>
        <w:t xml:space="preserve">Annual or recurring WEEE awareness and collection campaigns should be embedded in municipal or regional waste planning. </w:t>
      </w:r>
    </w:p>
    <w:p w14:paraId="2A35EEF7" w14:textId="66BACE72" w:rsidR="00716BE6" w:rsidRPr="00E6691B" w:rsidRDefault="005A1987">
      <w:pPr>
        <w:numPr>
          <w:ilvl w:val="0"/>
          <w:numId w:val="6"/>
        </w:numPr>
        <w:spacing w:before="105" w:after="105" w:line="360" w:lineRule="auto"/>
        <w:rPr>
          <w:rFonts w:asciiTheme="minorHAnsi"/>
        </w:rPr>
      </w:pPr>
      <w:r w:rsidRPr="00E6691B">
        <w:rPr>
          <w:rFonts w:asciiTheme="minorHAnsi" w:eastAsia="Georgia" w:cs="Georgia"/>
          <w:color w:val="000000"/>
        </w:rPr>
        <w:t xml:space="preserve">School or extracurricular frameworks should include basic WEEE education and awareness content. </w:t>
      </w:r>
    </w:p>
    <w:p w14:paraId="2A35EEF8" w14:textId="278EC7E1" w:rsidR="00716BE6" w:rsidRPr="00E6691B" w:rsidRDefault="005A1987">
      <w:pPr>
        <w:numPr>
          <w:ilvl w:val="0"/>
          <w:numId w:val="6"/>
        </w:numPr>
        <w:spacing w:before="105" w:after="105" w:line="360" w:lineRule="auto"/>
        <w:rPr>
          <w:rFonts w:asciiTheme="minorHAnsi"/>
        </w:rPr>
      </w:pPr>
      <w:r w:rsidRPr="00E6691B">
        <w:rPr>
          <w:rFonts w:asciiTheme="minorHAnsi" w:eastAsia="Georgia" w:cs="Georgia"/>
          <w:color w:val="000000"/>
        </w:rPr>
        <w:t xml:space="preserve">Cooperation between schools, local authorities, and EPR or authorized collection actors should be formalized through agreements, plans, or regulatory support. </w:t>
      </w:r>
    </w:p>
    <w:p w14:paraId="2A35EEF9" w14:textId="77777777" w:rsidR="00716BE6" w:rsidRPr="00E6691B" w:rsidRDefault="005A1987">
      <w:pPr>
        <w:spacing w:before="315" w:after="105" w:line="360" w:lineRule="auto"/>
        <w:ind w:left="-30"/>
        <w:rPr>
          <w:rFonts w:asciiTheme="minorHAnsi"/>
        </w:rPr>
      </w:pPr>
      <w:bookmarkStart w:id="35" w:name="bm_8_2_governance_structure_for_m_e7d3f7"/>
      <w:r w:rsidRPr="00E6691B">
        <w:rPr>
          <w:rFonts w:asciiTheme="minorHAnsi" w:eastAsia="Georgia" w:cs="Georgia"/>
          <w:b/>
          <w:color w:val="000000"/>
          <w:sz w:val="24"/>
        </w:rPr>
        <w:lastRenderedPageBreak/>
        <w:t>8.2 Governance structure for multi-stakeholder coordination</w:t>
      </w:r>
      <w:bookmarkEnd w:id="35"/>
    </w:p>
    <w:p w14:paraId="2A35EEFA" w14:textId="2B96BBC3" w:rsidR="00716BE6" w:rsidRPr="00E6691B" w:rsidRDefault="005A1987">
      <w:pPr>
        <w:spacing w:after="210" w:line="360" w:lineRule="auto"/>
        <w:rPr>
          <w:rFonts w:asciiTheme="minorHAnsi"/>
        </w:rPr>
      </w:pPr>
      <w:r w:rsidRPr="00E6691B">
        <w:rPr>
          <w:rFonts w:asciiTheme="minorHAnsi" w:eastAsia="Georgia" w:cs="Georgia"/>
          <w:color w:val="000000"/>
        </w:rPr>
        <w:t xml:space="preserve">The local contributions converge on a lightweight but structured governance model. One coordinating actor—municipality, municipal union, regional association, or similar intermediary body—should convene a steering mechanism involving school representatives, waste management actors, and where needed education authorities or expert </w:t>
      </w:r>
      <w:proofErr w:type="gramStart"/>
      <w:r w:rsidRPr="00E6691B">
        <w:rPr>
          <w:rFonts w:asciiTheme="minorHAnsi" w:eastAsia="Georgia" w:cs="Georgia"/>
          <w:color w:val="000000"/>
        </w:rPr>
        <w:t>organizations .</w:t>
      </w:r>
      <w:proofErr w:type="gramEnd"/>
    </w:p>
    <w:p w14:paraId="2A35EEFB" w14:textId="50ADE415" w:rsidR="00716BE6" w:rsidRPr="00E6691B" w:rsidRDefault="005A1987">
      <w:pPr>
        <w:spacing w:after="210" w:line="360" w:lineRule="auto"/>
        <w:rPr>
          <w:rFonts w:asciiTheme="minorHAnsi"/>
        </w:rPr>
      </w:pPr>
      <w:r w:rsidRPr="00E6691B">
        <w:rPr>
          <w:rFonts w:asciiTheme="minorHAnsi" w:eastAsia="Georgia" w:cs="Georgia"/>
          <w:color w:val="000000"/>
        </w:rPr>
        <w:t xml:space="preserve">The most representative transnational governance model is therefore a </w:t>
      </w:r>
      <w:r w:rsidRPr="00E6691B">
        <w:rPr>
          <w:rFonts w:asciiTheme="minorHAnsi" w:eastAsia="Georgia" w:cs="Georgia"/>
          <w:b/>
          <w:color w:val="000000"/>
        </w:rPr>
        <w:t>WEEE School Steering Committee</w:t>
      </w:r>
      <w:r w:rsidRPr="00E6691B">
        <w:rPr>
          <w:rFonts w:asciiTheme="minorHAnsi" w:eastAsia="Georgia" w:cs="Georgia"/>
          <w:color w:val="000000"/>
        </w:rPr>
        <w:t xml:space="preserve"> that meets at key campaign moments and is supported by simpler monthly coordination channels. This model reflects the common logic of the UCPB, UBBSLA, </w:t>
      </w:r>
      <w:proofErr w:type="spellStart"/>
      <w:r w:rsidRPr="00E6691B">
        <w:rPr>
          <w:rFonts w:asciiTheme="minorHAnsi" w:eastAsia="Georgia" w:cs="Georgia"/>
          <w:color w:val="000000"/>
        </w:rPr>
        <w:t>Rethymno</w:t>
      </w:r>
      <w:proofErr w:type="spellEnd"/>
      <w:r w:rsidRPr="00E6691B">
        <w:rPr>
          <w:rFonts w:asciiTheme="minorHAnsi" w:eastAsia="Georgia" w:cs="Georgia"/>
          <w:color w:val="000000"/>
        </w:rPr>
        <w:t xml:space="preserve">, and RSU Málaga experiences, even though the specific institutional host differs by </w:t>
      </w:r>
      <w:proofErr w:type="gramStart"/>
      <w:r w:rsidRPr="00E6691B">
        <w:rPr>
          <w:rFonts w:asciiTheme="minorHAnsi" w:eastAsia="Georgia" w:cs="Georgia"/>
          <w:color w:val="000000"/>
        </w:rPr>
        <w:t>territory .</w:t>
      </w:r>
      <w:proofErr w:type="gramEnd"/>
    </w:p>
    <w:p w14:paraId="2A35EEFC" w14:textId="77777777" w:rsidR="00716BE6" w:rsidRPr="00E6691B" w:rsidRDefault="005A1987">
      <w:pPr>
        <w:spacing w:before="315" w:after="105" w:line="360" w:lineRule="auto"/>
        <w:ind w:left="-30"/>
        <w:rPr>
          <w:rFonts w:asciiTheme="minorHAnsi"/>
        </w:rPr>
      </w:pPr>
      <w:bookmarkStart w:id="36" w:name="bm_8_3_minimum_capacity_requireme_df5787"/>
      <w:r w:rsidRPr="00E6691B">
        <w:rPr>
          <w:rFonts w:asciiTheme="minorHAnsi" w:eastAsia="Georgia" w:cs="Georgia"/>
          <w:b/>
          <w:color w:val="000000"/>
          <w:sz w:val="24"/>
        </w:rPr>
        <w:t>8.3 Minimum capacity requirements by role</w:t>
      </w:r>
      <w:bookmarkEnd w:id="36"/>
    </w:p>
    <w:p w14:paraId="2A35EEFD" w14:textId="3A13D4F8" w:rsidR="00716BE6" w:rsidRPr="00E6691B" w:rsidRDefault="005A1987">
      <w:pPr>
        <w:spacing w:after="210" w:line="360" w:lineRule="auto"/>
        <w:rPr>
          <w:rFonts w:asciiTheme="minorHAnsi"/>
        </w:rPr>
      </w:pPr>
      <w:r w:rsidRPr="00E6691B">
        <w:rPr>
          <w:rFonts w:asciiTheme="minorHAnsi" w:eastAsia="Georgia" w:cs="Georgia"/>
          <w:color w:val="000000"/>
        </w:rPr>
        <w:t xml:space="preserve">The revised draft contains stronger territorial material for this section, making it possible to define an indicative transnational minimum </w:t>
      </w:r>
      <w:proofErr w:type="gramStart"/>
      <w:r w:rsidRPr="00E6691B">
        <w:rPr>
          <w:rFonts w:asciiTheme="minorHAnsi" w:eastAsia="Georgia" w:cs="Georgia"/>
          <w:color w:val="000000"/>
        </w:rPr>
        <w:t>model .</w:t>
      </w:r>
      <w:proofErr w:type="gramEnd"/>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729"/>
        <w:gridCol w:w="1998"/>
        <w:gridCol w:w="2443"/>
        <w:gridCol w:w="1010"/>
        <w:gridCol w:w="2324"/>
      </w:tblGrid>
      <w:tr w:rsidR="00716BE6" w:rsidRPr="00E6691B" w14:paraId="2A35EF03"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EFE"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Role</w:t>
            </w:r>
          </w:p>
        </w:tc>
        <w:tc>
          <w:tcPr>
            <w:tcW w:w="0" w:type="auto"/>
            <w:tcBorders>
              <w:top w:val="single" w:sz="1" w:space="0" w:color="000000"/>
              <w:bottom w:val="single" w:sz="1" w:space="0" w:color="000000"/>
              <w:right w:val="single" w:sz="1" w:space="0" w:color="000000"/>
            </w:tcBorders>
          </w:tcPr>
          <w:p w14:paraId="2A35EEFF"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Organization type</w:t>
            </w:r>
          </w:p>
        </w:tc>
        <w:tc>
          <w:tcPr>
            <w:tcW w:w="0" w:type="auto"/>
            <w:tcBorders>
              <w:top w:val="single" w:sz="1" w:space="0" w:color="000000"/>
              <w:bottom w:val="single" w:sz="1" w:space="0" w:color="000000"/>
              <w:right w:val="single" w:sz="1" w:space="0" w:color="000000"/>
            </w:tcBorders>
          </w:tcPr>
          <w:p w14:paraId="2A35EF00"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Minimum capacity</w:t>
            </w:r>
          </w:p>
        </w:tc>
        <w:tc>
          <w:tcPr>
            <w:tcW w:w="0" w:type="auto"/>
            <w:tcBorders>
              <w:top w:val="single" w:sz="1" w:space="0" w:color="000000"/>
              <w:bottom w:val="single" w:sz="1" w:space="0" w:color="000000"/>
              <w:right w:val="single" w:sz="1" w:space="0" w:color="000000"/>
            </w:tcBorders>
          </w:tcPr>
          <w:p w14:paraId="2A35EF01"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Training hours</w:t>
            </w:r>
          </w:p>
        </w:tc>
        <w:tc>
          <w:tcPr>
            <w:tcW w:w="0" w:type="auto"/>
            <w:tcBorders>
              <w:top w:val="single" w:sz="1" w:space="0" w:color="000000"/>
              <w:bottom w:val="single" w:sz="1" w:space="0" w:color="000000"/>
            </w:tcBorders>
          </w:tcPr>
          <w:p w14:paraId="2A35EF02"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Tools provided</w:t>
            </w:r>
          </w:p>
        </w:tc>
      </w:tr>
      <w:tr w:rsidR="00716BE6" w:rsidRPr="00E6691B" w14:paraId="2A35EF09"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F04"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Pilot Coordinator</w:t>
            </w:r>
          </w:p>
        </w:tc>
        <w:tc>
          <w:tcPr>
            <w:tcW w:w="0" w:type="auto"/>
            <w:tcBorders>
              <w:top w:val="single" w:sz="1" w:space="0" w:color="000000"/>
              <w:bottom w:val="single" w:sz="1" w:space="0" w:color="000000"/>
              <w:right w:val="single" w:sz="1" w:space="0" w:color="000000"/>
            </w:tcBorders>
          </w:tcPr>
          <w:p w14:paraId="2A35EF05" w14:textId="25DDF1AE"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Municipality, municipal union, regional association, or equivalent </w:t>
            </w:r>
          </w:p>
        </w:tc>
        <w:tc>
          <w:tcPr>
            <w:tcW w:w="0" w:type="auto"/>
            <w:tcBorders>
              <w:top w:val="single" w:sz="1" w:space="0" w:color="000000"/>
              <w:bottom w:val="single" w:sz="1" w:space="0" w:color="000000"/>
              <w:right w:val="single" w:sz="1" w:space="0" w:color="000000"/>
            </w:tcBorders>
          </w:tcPr>
          <w:p w14:paraId="2A35EF06" w14:textId="4E8D73E8"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Around 0.2–0.5 FTE for 4–6 months in standard pilots; higher in larger regional pilots. </w:t>
            </w:r>
          </w:p>
        </w:tc>
        <w:tc>
          <w:tcPr>
            <w:tcW w:w="0" w:type="auto"/>
            <w:tcBorders>
              <w:top w:val="single" w:sz="1" w:space="0" w:color="000000"/>
              <w:bottom w:val="single" w:sz="1" w:space="0" w:color="000000"/>
              <w:right w:val="single" w:sz="1" w:space="0" w:color="000000"/>
            </w:tcBorders>
          </w:tcPr>
          <w:p w14:paraId="2A35EF07" w14:textId="23A46100"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About 6–12 hours. </w:t>
            </w:r>
          </w:p>
        </w:tc>
        <w:tc>
          <w:tcPr>
            <w:tcW w:w="0" w:type="auto"/>
            <w:tcBorders>
              <w:top w:val="single" w:sz="1" w:space="0" w:color="000000"/>
              <w:bottom w:val="single" w:sz="1" w:space="0" w:color="000000"/>
            </w:tcBorders>
          </w:tcPr>
          <w:p w14:paraId="2A35EF08" w14:textId="742A0F0B"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Guidelines, KPI sheet, reporting templates, stakeholder contact list, campaign toolkit. </w:t>
            </w:r>
          </w:p>
        </w:tc>
      </w:tr>
      <w:tr w:rsidR="00716BE6" w:rsidRPr="00E6691B" w14:paraId="2A35EF0F"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F0A"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School Liaison / Teacher Coordinator</w:t>
            </w:r>
          </w:p>
        </w:tc>
        <w:tc>
          <w:tcPr>
            <w:tcW w:w="0" w:type="auto"/>
            <w:tcBorders>
              <w:top w:val="single" w:sz="1" w:space="0" w:color="000000"/>
              <w:bottom w:val="single" w:sz="1" w:space="0" w:color="000000"/>
              <w:right w:val="single" w:sz="1" w:space="0" w:color="000000"/>
            </w:tcBorders>
          </w:tcPr>
          <w:p w14:paraId="2A35EF0B" w14:textId="0C90153B"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School </w:t>
            </w:r>
          </w:p>
        </w:tc>
        <w:tc>
          <w:tcPr>
            <w:tcW w:w="0" w:type="auto"/>
            <w:tcBorders>
              <w:top w:val="single" w:sz="1" w:space="0" w:color="000000"/>
              <w:bottom w:val="single" w:sz="1" w:space="0" w:color="000000"/>
              <w:right w:val="single" w:sz="1" w:space="0" w:color="000000"/>
            </w:tcBorders>
          </w:tcPr>
          <w:p w14:paraId="2A35EF0C" w14:textId="0E8B320F"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One focal point per school during active implementation; often around 0.1–0.2 FTE in the active phase. </w:t>
            </w:r>
          </w:p>
        </w:tc>
        <w:tc>
          <w:tcPr>
            <w:tcW w:w="0" w:type="auto"/>
            <w:tcBorders>
              <w:top w:val="single" w:sz="1" w:space="0" w:color="000000"/>
              <w:bottom w:val="single" w:sz="1" w:space="0" w:color="000000"/>
              <w:right w:val="single" w:sz="1" w:space="0" w:color="000000"/>
            </w:tcBorders>
          </w:tcPr>
          <w:p w14:paraId="2A35EF0D" w14:textId="0D0C10B7"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About 4–8 hours. </w:t>
            </w:r>
          </w:p>
        </w:tc>
        <w:tc>
          <w:tcPr>
            <w:tcW w:w="0" w:type="auto"/>
            <w:tcBorders>
              <w:top w:val="single" w:sz="1" w:space="0" w:color="000000"/>
              <w:bottom w:val="single" w:sz="1" w:space="0" w:color="000000"/>
            </w:tcBorders>
          </w:tcPr>
          <w:p w14:paraId="2A35EF0E" w14:textId="22E9F6DA"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Educational kit, family communication materials, rules, student materials. </w:t>
            </w:r>
          </w:p>
        </w:tc>
      </w:tr>
      <w:tr w:rsidR="00716BE6" w:rsidRPr="00E6691B" w14:paraId="2A35EF15"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F10"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Environmental Educator / Trainer</w:t>
            </w:r>
          </w:p>
        </w:tc>
        <w:tc>
          <w:tcPr>
            <w:tcW w:w="0" w:type="auto"/>
            <w:tcBorders>
              <w:top w:val="single" w:sz="1" w:space="0" w:color="000000"/>
              <w:bottom w:val="single" w:sz="1" w:space="0" w:color="000000"/>
              <w:right w:val="single" w:sz="1" w:space="0" w:color="000000"/>
            </w:tcBorders>
          </w:tcPr>
          <w:p w14:paraId="2A35EF11" w14:textId="04AFCFC8"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NGO, external educator, environmental organization, or support provider </w:t>
            </w:r>
          </w:p>
        </w:tc>
        <w:tc>
          <w:tcPr>
            <w:tcW w:w="0" w:type="auto"/>
            <w:tcBorders>
              <w:top w:val="single" w:sz="1" w:space="0" w:color="000000"/>
              <w:bottom w:val="single" w:sz="1" w:space="0" w:color="000000"/>
              <w:right w:val="single" w:sz="1" w:space="0" w:color="000000"/>
            </w:tcBorders>
          </w:tcPr>
          <w:p w14:paraId="2A35EF12" w14:textId="67C2E32D"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Around 0.2–0.3 FTE during implementation, depending on workshop intensity. </w:t>
            </w:r>
          </w:p>
        </w:tc>
        <w:tc>
          <w:tcPr>
            <w:tcW w:w="0" w:type="auto"/>
            <w:tcBorders>
              <w:top w:val="single" w:sz="1" w:space="0" w:color="000000"/>
              <w:bottom w:val="single" w:sz="1" w:space="0" w:color="000000"/>
              <w:right w:val="single" w:sz="1" w:space="0" w:color="000000"/>
            </w:tcBorders>
          </w:tcPr>
          <w:p w14:paraId="2A35EF13" w14:textId="3A92260A"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About 6–12 hours. </w:t>
            </w:r>
          </w:p>
        </w:tc>
        <w:tc>
          <w:tcPr>
            <w:tcW w:w="0" w:type="auto"/>
            <w:tcBorders>
              <w:top w:val="single" w:sz="1" w:space="0" w:color="000000"/>
              <w:bottom w:val="single" w:sz="1" w:space="0" w:color="000000"/>
            </w:tcBorders>
          </w:tcPr>
          <w:p w14:paraId="2A35EF14" w14:textId="13CA2EAB"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Presentations, workshop materials, facilitation guides, awareness content, demonstration kits. </w:t>
            </w:r>
          </w:p>
        </w:tc>
      </w:tr>
      <w:tr w:rsidR="00716BE6" w:rsidRPr="00E6691B" w14:paraId="2A35EF1B"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F16"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Waste Operator / Logistics Contact</w:t>
            </w:r>
          </w:p>
        </w:tc>
        <w:tc>
          <w:tcPr>
            <w:tcW w:w="0" w:type="auto"/>
            <w:tcBorders>
              <w:top w:val="single" w:sz="1" w:space="0" w:color="000000"/>
              <w:bottom w:val="single" w:sz="1" w:space="0" w:color="000000"/>
              <w:right w:val="single" w:sz="1" w:space="0" w:color="000000"/>
            </w:tcBorders>
          </w:tcPr>
          <w:p w14:paraId="2A35EF17" w14:textId="4E6D1237"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Waste company, municipal waste department, or authorized operator </w:t>
            </w:r>
          </w:p>
        </w:tc>
        <w:tc>
          <w:tcPr>
            <w:tcW w:w="0" w:type="auto"/>
            <w:tcBorders>
              <w:top w:val="single" w:sz="1" w:space="0" w:color="000000"/>
              <w:bottom w:val="single" w:sz="1" w:space="0" w:color="000000"/>
              <w:right w:val="single" w:sz="1" w:space="0" w:color="000000"/>
            </w:tcBorders>
          </w:tcPr>
          <w:p w14:paraId="2A35EF18" w14:textId="49609562"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One operational contact during the pilot period. </w:t>
            </w:r>
          </w:p>
        </w:tc>
        <w:tc>
          <w:tcPr>
            <w:tcW w:w="0" w:type="auto"/>
            <w:tcBorders>
              <w:top w:val="single" w:sz="1" w:space="0" w:color="000000"/>
              <w:bottom w:val="single" w:sz="1" w:space="0" w:color="000000"/>
              <w:right w:val="single" w:sz="1" w:space="0" w:color="000000"/>
            </w:tcBorders>
          </w:tcPr>
          <w:p w14:paraId="2A35EF19" w14:textId="194F9C6F"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About 2–4 hours. </w:t>
            </w:r>
          </w:p>
        </w:tc>
        <w:tc>
          <w:tcPr>
            <w:tcW w:w="0" w:type="auto"/>
            <w:tcBorders>
              <w:top w:val="single" w:sz="1" w:space="0" w:color="000000"/>
              <w:bottom w:val="single" w:sz="1" w:space="0" w:color="000000"/>
            </w:tcBorders>
          </w:tcPr>
          <w:p w14:paraId="2A35EF1A" w14:textId="1E30FAE9" w:rsidR="00716BE6" w:rsidRPr="00E6691B" w:rsidRDefault="005A1987">
            <w:pPr>
              <w:spacing w:line="360" w:lineRule="auto"/>
              <w:rPr>
                <w:rFonts w:asciiTheme="minorHAnsi"/>
              </w:rPr>
            </w:pPr>
            <w:r w:rsidRPr="00E6691B">
              <w:rPr>
                <w:rFonts w:asciiTheme="minorHAnsi" w:eastAsia="Helvetica Neue" w:cs="Helvetica Neue"/>
                <w:color w:val="000000"/>
                <w:sz w:val="17"/>
              </w:rPr>
              <w:t>Collection instructions, certificates, data recording sheet, recycling-</w:t>
            </w:r>
            <w:proofErr w:type="spellStart"/>
            <w:r w:rsidRPr="00E6691B">
              <w:rPr>
                <w:rFonts w:asciiTheme="minorHAnsi" w:eastAsia="Helvetica Neue" w:cs="Helvetica Neue"/>
                <w:color w:val="000000"/>
                <w:sz w:val="17"/>
              </w:rPr>
              <w:t>centre</w:t>
            </w:r>
            <w:proofErr w:type="spellEnd"/>
            <w:r w:rsidRPr="00E6691B">
              <w:rPr>
                <w:rFonts w:asciiTheme="minorHAnsi" w:eastAsia="Helvetica Neue" w:cs="Helvetica Neue"/>
                <w:color w:val="000000"/>
                <w:sz w:val="17"/>
              </w:rPr>
              <w:t xml:space="preserve"> linkage. </w:t>
            </w:r>
          </w:p>
        </w:tc>
      </w:tr>
      <w:tr w:rsidR="00716BE6" w:rsidRPr="00E6691B" w14:paraId="2A35EF21"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F1C"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lastRenderedPageBreak/>
              <w:t>Municipal or Education Authority Support Role</w:t>
            </w:r>
          </w:p>
        </w:tc>
        <w:tc>
          <w:tcPr>
            <w:tcW w:w="0" w:type="auto"/>
            <w:tcBorders>
              <w:top w:val="single" w:sz="1" w:space="0" w:color="000000"/>
              <w:bottom w:val="single" w:sz="1" w:space="0" w:color="000000"/>
              <w:right w:val="single" w:sz="1" w:space="0" w:color="000000"/>
            </w:tcBorders>
          </w:tcPr>
          <w:p w14:paraId="2A35EF1D" w14:textId="5816730B"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Municipality or regional education authority </w:t>
            </w:r>
          </w:p>
        </w:tc>
        <w:tc>
          <w:tcPr>
            <w:tcW w:w="0" w:type="auto"/>
            <w:tcBorders>
              <w:top w:val="single" w:sz="1" w:space="0" w:color="000000"/>
              <w:bottom w:val="single" w:sz="1" w:space="0" w:color="000000"/>
              <w:right w:val="single" w:sz="1" w:space="0" w:color="000000"/>
            </w:tcBorders>
          </w:tcPr>
          <w:p w14:paraId="2A35EF1E" w14:textId="704841E3"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Around 0.05–0.1 FTE where authorization or institutional access is needed. </w:t>
            </w:r>
          </w:p>
        </w:tc>
        <w:tc>
          <w:tcPr>
            <w:tcW w:w="0" w:type="auto"/>
            <w:tcBorders>
              <w:top w:val="single" w:sz="1" w:space="0" w:color="000000"/>
              <w:bottom w:val="single" w:sz="1" w:space="0" w:color="000000"/>
              <w:right w:val="single" w:sz="1" w:space="0" w:color="000000"/>
            </w:tcBorders>
          </w:tcPr>
          <w:p w14:paraId="2A35EF1F" w14:textId="1F1499F4"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About 1–6 hours. </w:t>
            </w:r>
          </w:p>
        </w:tc>
        <w:tc>
          <w:tcPr>
            <w:tcW w:w="0" w:type="auto"/>
            <w:tcBorders>
              <w:top w:val="single" w:sz="1" w:space="0" w:color="000000"/>
              <w:bottom w:val="single" w:sz="1" w:space="0" w:color="000000"/>
            </w:tcBorders>
          </w:tcPr>
          <w:p w14:paraId="2A35EF20" w14:textId="7462DC1C"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Official communication templates, compliance guidance, event support material. </w:t>
            </w:r>
          </w:p>
        </w:tc>
      </w:tr>
    </w:tbl>
    <w:p w14:paraId="2A35EF22" w14:textId="77777777" w:rsidR="00716BE6" w:rsidRPr="00E6691B" w:rsidRDefault="00716BE6">
      <w:pPr>
        <w:rPr>
          <w:rFonts w:asciiTheme="minorHAnsi"/>
        </w:rPr>
      </w:pPr>
    </w:p>
    <w:p w14:paraId="2A35EF23" w14:textId="77777777" w:rsidR="00716BE6" w:rsidRPr="00E6691B" w:rsidRDefault="005A1987">
      <w:pPr>
        <w:spacing w:before="315" w:after="105" w:line="360" w:lineRule="auto"/>
        <w:ind w:left="-30"/>
        <w:rPr>
          <w:rFonts w:asciiTheme="minorHAnsi"/>
        </w:rPr>
      </w:pPr>
      <w:bookmarkStart w:id="37" w:name="bm_9_monitoring_and_evaluation_framework"/>
      <w:r w:rsidRPr="00E6691B">
        <w:rPr>
          <w:rFonts w:asciiTheme="minorHAnsi" w:eastAsia="Georgia" w:cs="Georgia"/>
          <w:b/>
          <w:color w:val="000000"/>
          <w:sz w:val="24"/>
        </w:rPr>
        <w:t>9. Monitoring and evaluation framework</w:t>
      </w:r>
      <w:bookmarkEnd w:id="37"/>
    </w:p>
    <w:p w14:paraId="2A35EF24" w14:textId="77777777" w:rsidR="00716BE6" w:rsidRPr="00E6691B" w:rsidRDefault="005A1987">
      <w:pPr>
        <w:spacing w:before="315" w:after="105" w:line="360" w:lineRule="auto"/>
        <w:ind w:left="-30"/>
        <w:rPr>
          <w:rFonts w:asciiTheme="minorHAnsi"/>
        </w:rPr>
      </w:pPr>
      <w:bookmarkStart w:id="38" w:name="bm_9_1_key_indicators_for_transfer"/>
      <w:r w:rsidRPr="00E6691B">
        <w:rPr>
          <w:rFonts w:asciiTheme="minorHAnsi" w:eastAsia="Georgia" w:cs="Georgia"/>
          <w:b/>
          <w:color w:val="000000"/>
          <w:sz w:val="24"/>
        </w:rPr>
        <w:t>9.1 Key indicators for transfer</w:t>
      </w:r>
      <w:bookmarkEnd w:id="38"/>
    </w:p>
    <w:p w14:paraId="2A35EF25" w14:textId="0FA32067" w:rsidR="00716BE6" w:rsidRPr="00E6691B" w:rsidRDefault="005A1987">
      <w:pPr>
        <w:spacing w:after="210" w:line="360" w:lineRule="auto"/>
        <w:rPr>
          <w:rFonts w:asciiTheme="minorHAnsi"/>
        </w:rPr>
      </w:pPr>
      <w:r w:rsidRPr="00E6691B">
        <w:rPr>
          <w:rFonts w:asciiTheme="minorHAnsi" w:eastAsia="Georgia" w:cs="Georgia"/>
          <w:color w:val="000000"/>
        </w:rPr>
        <w:t>The revised draft still leaves this section partly templated, but it clearly points to a basic transnational monitoring set centered on the indicators already used in the pilots: participating students, WEEE collected, teacher involvement, and student engagement [file:5].</w:t>
      </w: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127"/>
        <w:gridCol w:w="1478"/>
        <w:gridCol w:w="2826"/>
        <w:gridCol w:w="1784"/>
        <w:gridCol w:w="2289"/>
      </w:tblGrid>
      <w:tr w:rsidR="00716BE6" w:rsidRPr="00E6691B" w14:paraId="2A35EF2B"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F26"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Indicator type</w:t>
            </w:r>
          </w:p>
        </w:tc>
        <w:tc>
          <w:tcPr>
            <w:tcW w:w="0" w:type="auto"/>
            <w:tcBorders>
              <w:top w:val="single" w:sz="1" w:space="0" w:color="000000"/>
              <w:bottom w:val="single" w:sz="1" w:space="0" w:color="000000"/>
              <w:right w:val="single" w:sz="1" w:space="0" w:color="000000"/>
            </w:tcBorders>
          </w:tcPr>
          <w:p w14:paraId="2A35EF27"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Indicator name</w:t>
            </w:r>
          </w:p>
        </w:tc>
        <w:tc>
          <w:tcPr>
            <w:tcW w:w="0" w:type="auto"/>
            <w:tcBorders>
              <w:top w:val="single" w:sz="1" w:space="0" w:color="000000"/>
              <w:bottom w:val="single" w:sz="1" w:space="0" w:color="000000"/>
              <w:right w:val="single" w:sz="1" w:space="0" w:color="000000"/>
            </w:tcBorders>
          </w:tcPr>
          <w:p w14:paraId="2A35EF28"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Suggested target logic</w:t>
            </w:r>
          </w:p>
        </w:tc>
        <w:tc>
          <w:tcPr>
            <w:tcW w:w="0" w:type="auto"/>
            <w:tcBorders>
              <w:top w:val="single" w:sz="1" w:space="0" w:color="000000"/>
              <w:bottom w:val="single" w:sz="1" w:space="0" w:color="000000"/>
              <w:right w:val="single" w:sz="1" w:space="0" w:color="000000"/>
            </w:tcBorders>
          </w:tcPr>
          <w:p w14:paraId="2A35EF29"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Frequency</w:t>
            </w:r>
          </w:p>
        </w:tc>
        <w:tc>
          <w:tcPr>
            <w:tcW w:w="0" w:type="auto"/>
            <w:tcBorders>
              <w:top w:val="single" w:sz="1" w:space="0" w:color="000000"/>
              <w:bottom w:val="single" w:sz="1" w:space="0" w:color="000000"/>
            </w:tcBorders>
          </w:tcPr>
          <w:p w14:paraId="2A35EF2A"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Data source</w:t>
            </w:r>
          </w:p>
        </w:tc>
      </w:tr>
      <w:tr w:rsidR="00716BE6" w:rsidRPr="00E6691B" w14:paraId="2A35EF31"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F2C"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Output</w:t>
            </w:r>
          </w:p>
        </w:tc>
        <w:tc>
          <w:tcPr>
            <w:tcW w:w="0" w:type="auto"/>
            <w:tcBorders>
              <w:top w:val="single" w:sz="1" w:space="0" w:color="000000"/>
              <w:bottom w:val="single" w:sz="1" w:space="0" w:color="000000"/>
              <w:right w:val="single" w:sz="1" w:space="0" w:color="000000"/>
            </w:tcBorders>
          </w:tcPr>
          <w:p w14:paraId="2A35EF2D" w14:textId="001EB70F"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Participating students </w:t>
            </w:r>
          </w:p>
        </w:tc>
        <w:tc>
          <w:tcPr>
            <w:tcW w:w="0" w:type="auto"/>
            <w:tcBorders>
              <w:top w:val="single" w:sz="1" w:space="0" w:color="000000"/>
              <w:bottom w:val="single" w:sz="1" w:space="0" w:color="000000"/>
              <w:right w:val="single" w:sz="1" w:space="0" w:color="000000"/>
            </w:tcBorders>
          </w:tcPr>
          <w:p w14:paraId="2A35EF2E" w14:textId="3561714C"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Set according to number of schools and age groups involved. </w:t>
            </w:r>
          </w:p>
        </w:tc>
        <w:tc>
          <w:tcPr>
            <w:tcW w:w="0" w:type="auto"/>
            <w:tcBorders>
              <w:top w:val="single" w:sz="1" w:space="0" w:color="000000"/>
              <w:bottom w:val="single" w:sz="1" w:space="0" w:color="000000"/>
              <w:right w:val="single" w:sz="1" w:space="0" w:color="000000"/>
            </w:tcBorders>
          </w:tcPr>
          <w:p w14:paraId="2A35EF2F" w14:textId="764448F3"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Monthly during campaign. </w:t>
            </w:r>
          </w:p>
        </w:tc>
        <w:tc>
          <w:tcPr>
            <w:tcW w:w="0" w:type="auto"/>
            <w:tcBorders>
              <w:top w:val="single" w:sz="1" w:space="0" w:color="000000"/>
              <w:bottom w:val="single" w:sz="1" w:space="0" w:color="000000"/>
            </w:tcBorders>
          </w:tcPr>
          <w:p w14:paraId="2A35EF30" w14:textId="34AF806C"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School attendance and workshop lists. </w:t>
            </w:r>
          </w:p>
        </w:tc>
      </w:tr>
      <w:tr w:rsidR="00716BE6" w:rsidRPr="00E6691B" w14:paraId="2A35EF37"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F32"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Outcome</w:t>
            </w:r>
          </w:p>
        </w:tc>
        <w:tc>
          <w:tcPr>
            <w:tcW w:w="0" w:type="auto"/>
            <w:tcBorders>
              <w:top w:val="single" w:sz="1" w:space="0" w:color="000000"/>
              <w:bottom w:val="single" w:sz="1" w:space="0" w:color="000000"/>
              <w:right w:val="single" w:sz="1" w:space="0" w:color="000000"/>
            </w:tcBorders>
          </w:tcPr>
          <w:p w14:paraId="2A35EF33" w14:textId="4BDE8986"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WEEE collected </w:t>
            </w:r>
          </w:p>
        </w:tc>
        <w:tc>
          <w:tcPr>
            <w:tcW w:w="0" w:type="auto"/>
            <w:tcBorders>
              <w:top w:val="single" w:sz="1" w:space="0" w:color="000000"/>
              <w:bottom w:val="single" w:sz="1" w:space="0" w:color="000000"/>
              <w:right w:val="single" w:sz="1" w:space="0" w:color="000000"/>
            </w:tcBorders>
          </w:tcPr>
          <w:p w14:paraId="2A35EF34" w14:textId="334EAECD"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Set according to campaign format and legal collection route. </w:t>
            </w:r>
          </w:p>
        </w:tc>
        <w:tc>
          <w:tcPr>
            <w:tcW w:w="0" w:type="auto"/>
            <w:tcBorders>
              <w:top w:val="single" w:sz="1" w:space="0" w:color="000000"/>
              <w:bottom w:val="single" w:sz="1" w:space="0" w:color="000000"/>
              <w:right w:val="single" w:sz="1" w:space="0" w:color="000000"/>
            </w:tcBorders>
          </w:tcPr>
          <w:p w14:paraId="2A35EF35" w14:textId="6C94AF22"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Quarterly or at campaign closure. </w:t>
            </w:r>
          </w:p>
        </w:tc>
        <w:tc>
          <w:tcPr>
            <w:tcW w:w="0" w:type="auto"/>
            <w:tcBorders>
              <w:top w:val="single" w:sz="1" w:space="0" w:color="000000"/>
              <w:bottom w:val="single" w:sz="1" w:space="0" w:color="000000"/>
            </w:tcBorders>
          </w:tcPr>
          <w:p w14:paraId="2A35EF36" w14:textId="1F0FA231"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Waste operator certificates or municipal records. </w:t>
            </w:r>
          </w:p>
        </w:tc>
      </w:tr>
      <w:tr w:rsidR="00716BE6" w:rsidRPr="00E6691B" w14:paraId="2A35EF3D"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F38"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Impact</w:t>
            </w:r>
          </w:p>
        </w:tc>
        <w:tc>
          <w:tcPr>
            <w:tcW w:w="0" w:type="auto"/>
            <w:tcBorders>
              <w:top w:val="single" w:sz="1" w:space="0" w:color="000000"/>
              <w:bottom w:val="single" w:sz="1" w:space="0" w:color="000000"/>
              <w:right w:val="single" w:sz="1" w:space="0" w:color="000000"/>
            </w:tcBorders>
          </w:tcPr>
          <w:p w14:paraId="2A35EF39" w14:textId="35CDE86D"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Teacher involvement </w:t>
            </w:r>
          </w:p>
        </w:tc>
        <w:tc>
          <w:tcPr>
            <w:tcW w:w="0" w:type="auto"/>
            <w:tcBorders>
              <w:top w:val="single" w:sz="1" w:space="0" w:color="000000"/>
              <w:bottom w:val="single" w:sz="1" w:space="0" w:color="000000"/>
              <w:right w:val="single" w:sz="1" w:space="0" w:color="000000"/>
            </w:tcBorders>
          </w:tcPr>
          <w:p w14:paraId="2A35EF3A" w14:textId="375A6109"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Set according to number of participating classes and expected support role. </w:t>
            </w:r>
          </w:p>
        </w:tc>
        <w:tc>
          <w:tcPr>
            <w:tcW w:w="0" w:type="auto"/>
            <w:tcBorders>
              <w:top w:val="single" w:sz="1" w:space="0" w:color="000000"/>
              <w:bottom w:val="single" w:sz="1" w:space="0" w:color="000000"/>
              <w:right w:val="single" w:sz="1" w:space="0" w:color="000000"/>
            </w:tcBorders>
          </w:tcPr>
          <w:p w14:paraId="2A35EF3B" w14:textId="21495C08"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Semester or campaign closure. </w:t>
            </w:r>
          </w:p>
        </w:tc>
        <w:tc>
          <w:tcPr>
            <w:tcW w:w="0" w:type="auto"/>
            <w:tcBorders>
              <w:top w:val="single" w:sz="1" w:space="0" w:color="000000"/>
              <w:bottom w:val="single" w:sz="1" w:space="0" w:color="000000"/>
            </w:tcBorders>
          </w:tcPr>
          <w:p w14:paraId="2A35EF3C" w14:textId="165C5682"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School reporting and attendance records. </w:t>
            </w:r>
          </w:p>
        </w:tc>
      </w:tr>
      <w:tr w:rsidR="00716BE6" w:rsidRPr="00E6691B" w14:paraId="2A35EF43"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A35EF3E" w14:textId="77777777" w:rsidR="00716BE6" w:rsidRPr="00E6691B" w:rsidRDefault="005A1987">
            <w:pPr>
              <w:spacing w:line="360" w:lineRule="auto"/>
              <w:rPr>
                <w:rFonts w:asciiTheme="minorHAnsi"/>
              </w:rPr>
            </w:pPr>
            <w:r w:rsidRPr="00E6691B">
              <w:rPr>
                <w:rFonts w:asciiTheme="minorHAnsi" w:eastAsia="Helvetica Neue" w:cs="Helvetica Neue"/>
                <w:color w:val="000000"/>
                <w:sz w:val="17"/>
              </w:rPr>
              <w:t>Behavior</w:t>
            </w:r>
          </w:p>
        </w:tc>
        <w:tc>
          <w:tcPr>
            <w:tcW w:w="0" w:type="auto"/>
            <w:tcBorders>
              <w:top w:val="single" w:sz="1" w:space="0" w:color="000000"/>
              <w:bottom w:val="single" w:sz="1" w:space="0" w:color="000000"/>
              <w:right w:val="single" w:sz="1" w:space="0" w:color="000000"/>
            </w:tcBorders>
          </w:tcPr>
          <w:p w14:paraId="2A35EF3F" w14:textId="6F6F6428"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Student engagement </w:t>
            </w:r>
          </w:p>
        </w:tc>
        <w:tc>
          <w:tcPr>
            <w:tcW w:w="0" w:type="auto"/>
            <w:tcBorders>
              <w:top w:val="single" w:sz="1" w:space="0" w:color="000000"/>
              <w:bottom w:val="single" w:sz="1" w:space="0" w:color="000000"/>
              <w:right w:val="single" w:sz="1" w:space="0" w:color="000000"/>
            </w:tcBorders>
          </w:tcPr>
          <w:p w14:paraId="2A35EF40" w14:textId="1F6255CF"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Set through submissions, tasks, pledges, or active participation markers. </w:t>
            </w:r>
          </w:p>
        </w:tc>
        <w:tc>
          <w:tcPr>
            <w:tcW w:w="0" w:type="auto"/>
            <w:tcBorders>
              <w:top w:val="single" w:sz="1" w:space="0" w:color="000000"/>
              <w:bottom w:val="single" w:sz="1" w:space="0" w:color="000000"/>
              <w:right w:val="single" w:sz="1" w:space="0" w:color="000000"/>
            </w:tcBorders>
          </w:tcPr>
          <w:p w14:paraId="2A35EF41" w14:textId="1A82A2AB"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Final campaign review or annual cycle. </w:t>
            </w:r>
          </w:p>
        </w:tc>
        <w:tc>
          <w:tcPr>
            <w:tcW w:w="0" w:type="auto"/>
            <w:tcBorders>
              <w:top w:val="single" w:sz="1" w:space="0" w:color="000000"/>
              <w:bottom w:val="single" w:sz="1" w:space="0" w:color="000000"/>
            </w:tcBorders>
          </w:tcPr>
          <w:p w14:paraId="2A35EF42" w14:textId="20A74401" w:rsidR="00716BE6" w:rsidRPr="00E6691B" w:rsidRDefault="005A1987">
            <w:pPr>
              <w:spacing w:line="360" w:lineRule="auto"/>
              <w:rPr>
                <w:rFonts w:asciiTheme="minorHAnsi"/>
              </w:rPr>
            </w:pPr>
            <w:r w:rsidRPr="00E6691B">
              <w:rPr>
                <w:rFonts w:asciiTheme="minorHAnsi" w:eastAsia="Helvetica Neue" w:cs="Helvetica Neue"/>
                <w:color w:val="000000"/>
                <w:sz w:val="17"/>
              </w:rPr>
              <w:t xml:space="preserve">Competition records, workshop sheets, school reports. </w:t>
            </w:r>
          </w:p>
        </w:tc>
      </w:tr>
    </w:tbl>
    <w:p w14:paraId="2A35EF44" w14:textId="77777777" w:rsidR="00716BE6" w:rsidRPr="00E6691B" w:rsidRDefault="00716BE6">
      <w:pPr>
        <w:rPr>
          <w:rFonts w:asciiTheme="minorHAnsi"/>
        </w:rPr>
      </w:pPr>
    </w:p>
    <w:p w14:paraId="2A35EF45" w14:textId="77777777" w:rsidR="00716BE6" w:rsidRPr="00E6691B" w:rsidRDefault="005A1987">
      <w:pPr>
        <w:spacing w:before="315" w:after="105" w:line="360" w:lineRule="auto"/>
        <w:ind w:left="-30"/>
        <w:rPr>
          <w:rFonts w:asciiTheme="minorHAnsi"/>
        </w:rPr>
      </w:pPr>
      <w:bookmarkStart w:id="39" w:name="bm_9_2_adaptation_notes_by_territ_dba76a"/>
      <w:r w:rsidRPr="00E6691B">
        <w:rPr>
          <w:rFonts w:asciiTheme="minorHAnsi" w:eastAsia="Georgia" w:cs="Georgia"/>
          <w:b/>
          <w:color w:val="000000"/>
          <w:sz w:val="24"/>
        </w:rPr>
        <w:t>9.2 Adaptation notes by territory type</w:t>
      </w:r>
      <w:bookmarkEnd w:id="39"/>
    </w:p>
    <w:p w14:paraId="2A35EF48" w14:textId="7A3C5B42" w:rsidR="00716BE6" w:rsidRPr="00E6691B" w:rsidRDefault="005A1987">
      <w:pPr>
        <w:spacing w:after="210" w:line="360" w:lineRule="auto"/>
        <w:rPr>
          <w:rFonts w:asciiTheme="minorHAnsi"/>
        </w:rPr>
      </w:pPr>
      <w:r w:rsidRPr="00E6691B">
        <w:rPr>
          <w:rFonts w:asciiTheme="minorHAnsi" w:eastAsia="Georgia" w:cs="Georgia"/>
          <w:color w:val="000000"/>
        </w:rPr>
        <w:t xml:space="preserve">In stronger urban systems, monthly output tracking is feasible through school and municipal coordination. In more dispersed or lower-capacity settings, quarterly tracking may be more realistic, and qualitative evidence may need to complement numeric data. Where legal restrictions reduce collection opportunities, educational and behavioral indicators should receive greater weight so that the value of the solution is not judged only by kilograms </w:t>
      </w:r>
      <w:proofErr w:type="gramStart"/>
      <w:r w:rsidRPr="00E6691B">
        <w:rPr>
          <w:rFonts w:asciiTheme="minorHAnsi" w:eastAsia="Georgia" w:cs="Georgia"/>
          <w:color w:val="000000"/>
        </w:rPr>
        <w:t>collected .</w:t>
      </w:r>
      <w:proofErr w:type="gramEnd"/>
    </w:p>
    <w:sectPr w:rsidR="00716BE6" w:rsidRPr="00E6691B">
      <w:pgSz w:w="12240" w:h="15840"/>
      <w:pgMar w:top="1365" w:right="1365" w:bottom="1365" w:left="136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Neue">
    <w:altName w:val="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889"/>
    <w:multiLevelType w:val="hybridMultilevel"/>
    <w:tmpl w:val="CE9A9708"/>
    <w:lvl w:ilvl="0" w:tplc="7758FB26">
      <w:start w:val="1"/>
      <w:numFmt w:val="bullet"/>
      <w:lvlText w:val=""/>
      <w:lvlJc w:val="left"/>
      <w:pPr>
        <w:tabs>
          <w:tab w:val="num" w:pos="900"/>
        </w:tabs>
        <w:ind w:left="540" w:hanging="360"/>
      </w:pPr>
      <w:rPr>
        <w:rFonts w:ascii="Symbol" w:hAnsi="Symbol" w:hint="default"/>
      </w:rPr>
    </w:lvl>
    <w:lvl w:ilvl="1" w:tplc="A29E1358">
      <w:numFmt w:val="decimal"/>
      <w:lvlText w:val=""/>
      <w:lvlJc w:val="left"/>
    </w:lvl>
    <w:lvl w:ilvl="2" w:tplc="5D0299E6">
      <w:numFmt w:val="decimal"/>
      <w:lvlText w:val=""/>
      <w:lvlJc w:val="left"/>
    </w:lvl>
    <w:lvl w:ilvl="3" w:tplc="B1FA45AC">
      <w:numFmt w:val="decimal"/>
      <w:lvlText w:val=""/>
      <w:lvlJc w:val="left"/>
    </w:lvl>
    <w:lvl w:ilvl="4" w:tplc="39D05934">
      <w:numFmt w:val="decimal"/>
      <w:lvlText w:val=""/>
      <w:lvlJc w:val="left"/>
    </w:lvl>
    <w:lvl w:ilvl="5" w:tplc="7342264E">
      <w:numFmt w:val="decimal"/>
      <w:lvlText w:val=""/>
      <w:lvlJc w:val="left"/>
    </w:lvl>
    <w:lvl w:ilvl="6" w:tplc="CF72C838">
      <w:numFmt w:val="decimal"/>
      <w:lvlText w:val=""/>
      <w:lvlJc w:val="left"/>
    </w:lvl>
    <w:lvl w:ilvl="7" w:tplc="80E42760">
      <w:numFmt w:val="decimal"/>
      <w:lvlText w:val=""/>
      <w:lvlJc w:val="left"/>
    </w:lvl>
    <w:lvl w:ilvl="8" w:tplc="EC0E9DD2">
      <w:numFmt w:val="decimal"/>
      <w:lvlText w:val=""/>
      <w:lvlJc w:val="left"/>
    </w:lvl>
  </w:abstractNum>
  <w:abstractNum w:abstractNumId="1" w15:restartNumberingAfterBreak="0">
    <w:nsid w:val="0AEB1594"/>
    <w:multiLevelType w:val="hybridMultilevel"/>
    <w:tmpl w:val="1F10EBC8"/>
    <w:lvl w:ilvl="0" w:tplc="D7AC8990">
      <w:start w:val="1"/>
      <w:numFmt w:val="decimal"/>
      <w:lvlText w:val="%1."/>
      <w:lvlJc w:val="left"/>
      <w:pPr>
        <w:tabs>
          <w:tab w:val="num" w:pos="900"/>
        </w:tabs>
        <w:ind w:left="540" w:hanging="360"/>
      </w:pPr>
    </w:lvl>
    <w:lvl w:ilvl="1" w:tplc="F1C4B09A">
      <w:numFmt w:val="decimal"/>
      <w:lvlText w:val=""/>
      <w:lvlJc w:val="left"/>
    </w:lvl>
    <w:lvl w:ilvl="2" w:tplc="A220317C">
      <w:numFmt w:val="decimal"/>
      <w:lvlText w:val=""/>
      <w:lvlJc w:val="left"/>
    </w:lvl>
    <w:lvl w:ilvl="3" w:tplc="A956BF98">
      <w:numFmt w:val="decimal"/>
      <w:lvlText w:val=""/>
      <w:lvlJc w:val="left"/>
    </w:lvl>
    <w:lvl w:ilvl="4" w:tplc="A99A01A0">
      <w:numFmt w:val="decimal"/>
      <w:lvlText w:val=""/>
      <w:lvlJc w:val="left"/>
    </w:lvl>
    <w:lvl w:ilvl="5" w:tplc="C08E8F34">
      <w:numFmt w:val="decimal"/>
      <w:lvlText w:val=""/>
      <w:lvlJc w:val="left"/>
    </w:lvl>
    <w:lvl w:ilvl="6" w:tplc="66486882">
      <w:numFmt w:val="decimal"/>
      <w:lvlText w:val=""/>
      <w:lvlJc w:val="left"/>
    </w:lvl>
    <w:lvl w:ilvl="7" w:tplc="CF685D20">
      <w:numFmt w:val="decimal"/>
      <w:lvlText w:val=""/>
      <w:lvlJc w:val="left"/>
    </w:lvl>
    <w:lvl w:ilvl="8" w:tplc="3266D71E">
      <w:numFmt w:val="decimal"/>
      <w:lvlText w:val=""/>
      <w:lvlJc w:val="left"/>
    </w:lvl>
  </w:abstractNum>
  <w:abstractNum w:abstractNumId="2" w15:restartNumberingAfterBreak="0">
    <w:nsid w:val="1DF17040"/>
    <w:multiLevelType w:val="hybridMultilevel"/>
    <w:tmpl w:val="4EBCFEEC"/>
    <w:lvl w:ilvl="0" w:tplc="52E8DDAA">
      <w:start w:val="1"/>
      <w:numFmt w:val="decimal"/>
      <w:lvlText w:val="%1."/>
      <w:lvlJc w:val="left"/>
      <w:pPr>
        <w:tabs>
          <w:tab w:val="num" w:pos="900"/>
        </w:tabs>
        <w:ind w:left="540" w:hanging="360"/>
      </w:pPr>
    </w:lvl>
    <w:lvl w:ilvl="1" w:tplc="3F6A1E80">
      <w:numFmt w:val="decimal"/>
      <w:lvlText w:val=""/>
      <w:lvlJc w:val="left"/>
    </w:lvl>
    <w:lvl w:ilvl="2" w:tplc="8350F3BC">
      <w:numFmt w:val="decimal"/>
      <w:lvlText w:val=""/>
      <w:lvlJc w:val="left"/>
    </w:lvl>
    <w:lvl w:ilvl="3" w:tplc="33B0551C">
      <w:numFmt w:val="decimal"/>
      <w:lvlText w:val=""/>
      <w:lvlJc w:val="left"/>
    </w:lvl>
    <w:lvl w:ilvl="4" w:tplc="66B0C912">
      <w:numFmt w:val="decimal"/>
      <w:lvlText w:val=""/>
      <w:lvlJc w:val="left"/>
    </w:lvl>
    <w:lvl w:ilvl="5" w:tplc="3CD87C70">
      <w:numFmt w:val="decimal"/>
      <w:lvlText w:val=""/>
      <w:lvlJc w:val="left"/>
    </w:lvl>
    <w:lvl w:ilvl="6" w:tplc="6868FDDC">
      <w:numFmt w:val="decimal"/>
      <w:lvlText w:val=""/>
      <w:lvlJc w:val="left"/>
    </w:lvl>
    <w:lvl w:ilvl="7" w:tplc="9D6CA508">
      <w:numFmt w:val="decimal"/>
      <w:lvlText w:val=""/>
      <w:lvlJc w:val="left"/>
    </w:lvl>
    <w:lvl w:ilvl="8" w:tplc="A3A6AE4C">
      <w:numFmt w:val="decimal"/>
      <w:lvlText w:val=""/>
      <w:lvlJc w:val="left"/>
    </w:lvl>
  </w:abstractNum>
  <w:abstractNum w:abstractNumId="3" w15:restartNumberingAfterBreak="0">
    <w:nsid w:val="45B02971"/>
    <w:multiLevelType w:val="hybridMultilevel"/>
    <w:tmpl w:val="35323A66"/>
    <w:lvl w:ilvl="0" w:tplc="DBEEEA2A">
      <w:start w:val="1"/>
      <w:numFmt w:val="bullet"/>
      <w:lvlText w:val=""/>
      <w:lvlJc w:val="left"/>
      <w:pPr>
        <w:tabs>
          <w:tab w:val="num" w:pos="900"/>
        </w:tabs>
        <w:ind w:left="540" w:hanging="360"/>
      </w:pPr>
      <w:rPr>
        <w:rFonts w:ascii="Symbol" w:hAnsi="Symbol" w:hint="default"/>
      </w:rPr>
    </w:lvl>
    <w:lvl w:ilvl="1" w:tplc="CE6E0518">
      <w:numFmt w:val="decimal"/>
      <w:lvlText w:val=""/>
      <w:lvlJc w:val="left"/>
    </w:lvl>
    <w:lvl w:ilvl="2" w:tplc="E9924BF6">
      <w:numFmt w:val="decimal"/>
      <w:lvlText w:val=""/>
      <w:lvlJc w:val="left"/>
    </w:lvl>
    <w:lvl w:ilvl="3" w:tplc="6DD6198E">
      <w:numFmt w:val="decimal"/>
      <w:lvlText w:val=""/>
      <w:lvlJc w:val="left"/>
    </w:lvl>
    <w:lvl w:ilvl="4" w:tplc="D9AE8902">
      <w:numFmt w:val="decimal"/>
      <w:lvlText w:val=""/>
      <w:lvlJc w:val="left"/>
    </w:lvl>
    <w:lvl w:ilvl="5" w:tplc="7556D768">
      <w:numFmt w:val="decimal"/>
      <w:lvlText w:val=""/>
      <w:lvlJc w:val="left"/>
    </w:lvl>
    <w:lvl w:ilvl="6" w:tplc="5F0EF142">
      <w:numFmt w:val="decimal"/>
      <w:lvlText w:val=""/>
      <w:lvlJc w:val="left"/>
    </w:lvl>
    <w:lvl w:ilvl="7" w:tplc="25FA68B4">
      <w:numFmt w:val="decimal"/>
      <w:lvlText w:val=""/>
      <w:lvlJc w:val="left"/>
    </w:lvl>
    <w:lvl w:ilvl="8" w:tplc="2E3E559E">
      <w:numFmt w:val="decimal"/>
      <w:lvlText w:val=""/>
      <w:lvlJc w:val="left"/>
    </w:lvl>
  </w:abstractNum>
  <w:abstractNum w:abstractNumId="4" w15:restartNumberingAfterBreak="0">
    <w:nsid w:val="48467A5F"/>
    <w:multiLevelType w:val="hybridMultilevel"/>
    <w:tmpl w:val="B6FECD22"/>
    <w:lvl w:ilvl="0" w:tplc="4C68A17A">
      <w:start w:val="1"/>
      <w:numFmt w:val="bullet"/>
      <w:lvlText w:val=""/>
      <w:lvlJc w:val="left"/>
      <w:pPr>
        <w:tabs>
          <w:tab w:val="num" w:pos="900"/>
        </w:tabs>
        <w:ind w:left="540" w:hanging="360"/>
      </w:pPr>
      <w:rPr>
        <w:rFonts w:ascii="Symbol" w:hAnsi="Symbol" w:hint="default"/>
      </w:rPr>
    </w:lvl>
    <w:lvl w:ilvl="1" w:tplc="449A3226">
      <w:numFmt w:val="decimal"/>
      <w:lvlText w:val=""/>
      <w:lvlJc w:val="left"/>
    </w:lvl>
    <w:lvl w:ilvl="2" w:tplc="31F27EF6">
      <w:numFmt w:val="decimal"/>
      <w:lvlText w:val=""/>
      <w:lvlJc w:val="left"/>
    </w:lvl>
    <w:lvl w:ilvl="3" w:tplc="336AEB52">
      <w:numFmt w:val="decimal"/>
      <w:lvlText w:val=""/>
      <w:lvlJc w:val="left"/>
    </w:lvl>
    <w:lvl w:ilvl="4" w:tplc="4A562778">
      <w:numFmt w:val="decimal"/>
      <w:lvlText w:val=""/>
      <w:lvlJc w:val="left"/>
    </w:lvl>
    <w:lvl w:ilvl="5" w:tplc="8D266236">
      <w:numFmt w:val="decimal"/>
      <w:lvlText w:val=""/>
      <w:lvlJc w:val="left"/>
    </w:lvl>
    <w:lvl w:ilvl="6" w:tplc="2C70455C">
      <w:numFmt w:val="decimal"/>
      <w:lvlText w:val=""/>
      <w:lvlJc w:val="left"/>
    </w:lvl>
    <w:lvl w:ilvl="7" w:tplc="6D0027E0">
      <w:numFmt w:val="decimal"/>
      <w:lvlText w:val=""/>
      <w:lvlJc w:val="left"/>
    </w:lvl>
    <w:lvl w:ilvl="8" w:tplc="3650FF58">
      <w:numFmt w:val="decimal"/>
      <w:lvlText w:val=""/>
      <w:lvlJc w:val="left"/>
    </w:lvl>
  </w:abstractNum>
  <w:abstractNum w:abstractNumId="5" w15:restartNumberingAfterBreak="0">
    <w:nsid w:val="71F92612"/>
    <w:multiLevelType w:val="hybridMultilevel"/>
    <w:tmpl w:val="53EC0444"/>
    <w:lvl w:ilvl="0" w:tplc="030642DC">
      <w:start w:val="1"/>
      <w:numFmt w:val="bullet"/>
      <w:lvlText w:val=""/>
      <w:lvlJc w:val="left"/>
      <w:pPr>
        <w:tabs>
          <w:tab w:val="num" w:pos="900"/>
        </w:tabs>
        <w:ind w:left="540" w:hanging="360"/>
      </w:pPr>
      <w:rPr>
        <w:rFonts w:ascii="Symbol" w:hAnsi="Symbol" w:hint="default"/>
      </w:rPr>
    </w:lvl>
    <w:lvl w:ilvl="1" w:tplc="7B864B74">
      <w:numFmt w:val="decimal"/>
      <w:lvlText w:val=""/>
      <w:lvlJc w:val="left"/>
    </w:lvl>
    <w:lvl w:ilvl="2" w:tplc="0FDE0D20">
      <w:numFmt w:val="decimal"/>
      <w:lvlText w:val=""/>
      <w:lvlJc w:val="left"/>
    </w:lvl>
    <w:lvl w:ilvl="3" w:tplc="EC0C20BE">
      <w:numFmt w:val="decimal"/>
      <w:lvlText w:val=""/>
      <w:lvlJc w:val="left"/>
    </w:lvl>
    <w:lvl w:ilvl="4" w:tplc="8454E880">
      <w:numFmt w:val="decimal"/>
      <w:lvlText w:val=""/>
      <w:lvlJc w:val="left"/>
    </w:lvl>
    <w:lvl w:ilvl="5" w:tplc="F48421B4">
      <w:numFmt w:val="decimal"/>
      <w:lvlText w:val=""/>
      <w:lvlJc w:val="left"/>
    </w:lvl>
    <w:lvl w:ilvl="6" w:tplc="75BA043C">
      <w:numFmt w:val="decimal"/>
      <w:lvlText w:val=""/>
      <w:lvlJc w:val="left"/>
    </w:lvl>
    <w:lvl w:ilvl="7" w:tplc="DB24AEA4">
      <w:numFmt w:val="decimal"/>
      <w:lvlText w:val=""/>
      <w:lvlJc w:val="left"/>
    </w:lvl>
    <w:lvl w:ilvl="8" w:tplc="78DE672E">
      <w:numFmt w:val="decimal"/>
      <w:lvlText w:val=""/>
      <w:lvlJc w:val="left"/>
    </w:lvl>
  </w:abstractNum>
  <w:num w:numId="1" w16cid:durableId="311066143">
    <w:abstractNumId w:val="5"/>
  </w:num>
  <w:num w:numId="2" w16cid:durableId="609166829">
    <w:abstractNumId w:val="4"/>
  </w:num>
  <w:num w:numId="3" w16cid:durableId="647053063">
    <w:abstractNumId w:val="2"/>
  </w:num>
  <w:num w:numId="4" w16cid:durableId="1096053055">
    <w:abstractNumId w:val="3"/>
  </w:num>
  <w:num w:numId="5" w16cid:durableId="72557335">
    <w:abstractNumId w:val="1"/>
  </w:num>
  <w:num w:numId="6" w16cid:durableId="7654200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96"/>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BE6"/>
    <w:rsid w:val="000048DE"/>
    <w:rsid w:val="000D65E1"/>
    <w:rsid w:val="00113E0C"/>
    <w:rsid w:val="00123B82"/>
    <w:rsid w:val="001503D8"/>
    <w:rsid w:val="001C6F52"/>
    <w:rsid w:val="002107B6"/>
    <w:rsid w:val="002B77E2"/>
    <w:rsid w:val="002F6388"/>
    <w:rsid w:val="00321DCB"/>
    <w:rsid w:val="00324EB4"/>
    <w:rsid w:val="0039494D"/>
    <w:rsid w:val="00402A57"/>
    <w:rsid w:val="0040334F"/>
    <w:rsid w:val="004148CE"/>
    <w:rsid w:val="005004AF"/>
    <w:rsid w:val="005314C2"/>
    <w:rsid w:val="00581A98"/>
    <w:rsid w:val="005A1987"/>
    <w:rsid w:val="005C0763"/>
    <w:rsid w:val="0060188D"/>
    <w:rsid w:val="006114C0"/>
    <w:rsid w:val="00644B12"/>
    <w:rsid w:val="006C2582"/>
    <w:rsid w:val="006C41EC"/>
    <w:rsid w:val="00716BE6"/>
    <w:rsid w:val="007541FE"/>
    <w:rsid w:val="007F03BB"/>
    <w:rsid w:val="007F6D12"/>
    <w:rsid w:val="0081679D"/>
    <w:rsid w:val="008663D7"/>
    <w:rsid w:val="00921A53"/>
    <w:rsid w:val="009F03F7"/>
    <w:rsid w:val="00A37FA4"/>
    <w:rsid w:val="00A47D4B"/>
    <w:rsid w:val="00A91B02"/>
    <w:rsid w:val="00A940EC"/>
    <w:rsid w:val="00AA66C4"/>
    <w:rsid w:val="00AE6F0F"/>
    <w:rsid w:val="00BB0E66"/>
    <w:rsid w:val="00CD6509"/>
    <w:rsid w:val="00D35B4D"/>
    <w:rsid w:val="00D955EC"/>
    <w:rsid w:val="00E33BAC"/>
    <w:rsid w:val="00E6691B"/>
    <w:rsid w:val="00E77860"/>
    <w:rsid w:val="00EB4738"/>
    <w:rsid w:val="00EC391C"/>
    <w:rsid w:val="00F30B18"/>
    <w:rsid w:val="00F556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5EE0D"/>
  <w15:docId w15:val="{073B2201-B1B0-7B47-88AE-488EB9174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6691B"/>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Titolo2">
    <w:name w:val="heading 2"/>
    <w:basedOn w:val="Normale"/>
    <w:next w:val="Normale"/>
    <w:link w:val="Titolo2Carattere"/>
    <w:uiPriority w:val="9"/>
    <w:unhideWhenUsed/>
    <w:qFormat/>
    <w:rsid w:val="00E6691B"/>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VerbatimChar">
    <w:name w:val="Verbatim Char"/>
    <w:rPr>
      <w:rFonts w:ascii="Consolas" w:hAnsi="Consolas"/>
      <w:sz w:val="22"/>
    </w:rPr>
  </w:style>
  <w:style w:type="table" w:customStyle="1" w:styleId="NormalGrid">
    <w:name w:val="Normal Grid"/>
    <w:basedOn w:val="Tabellanormale"/>
    <w:uiPriority w:val="39"/>
    <w:pPr>
      <w:spacing w:after="0" w:line="240" w:lineRule="auto"/>
    </w:pPr>
    <w:tblPr>
      <w:tblCellMar>
        <w:top w:w="80" w:type="dxa"/>
        <w:left w:w="160" w:type="dxa"/>
        <w:bottom w:w="80" w:type="dxa"/>
        <w:right w:w="160" w:type="dxa"/>
      </w:tblCellMar>
    </w:tblPr>
  </w:style>
  <w:style w:type="character" w:customStyle="1" w:styleId="Titolo1Carattere">
    <w:name w:val="Titolo 1 Carattere"/>
    <w:basedOn w:val="Carpredefinitoparagrafo"/>
    <w:link w:val="Titolo1"/>
    <w:uiPriority w:val="9"/>
    <w:rsid w:val="00E6691B"/>
    <w:rPr>
      <w:rFonts w:asciiTheme="majorHAnsi" w:eastAsiaTheme="majorEastAsia" w:hAnsiTheme="majorHAnsi" w:cstheme="majorBidi"/>
      <w:color w:val="0F4761" w:themeColor="accent1" w:themeShade="BF"/>
      <w:sz w:val="32"/>
      <w:szCs w:val="32"/>
    </w:rPr>
  </w:style>
  <w:style w:type="character" w:customStyle="1" w:styleId="Titolo2Carattere">
    <w:name w:val="Titolo 2 Carattere"/>
    <w:basedOn w:val="Carpredefinitoparagrafo"/>
    <w:link w:val="Titolo2"/>
    <w:uiPriority w:val="9"/>
    <w:rsid w:val="00E6691B"/>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10</Pages>
  <Words>2555</Words>
  <Characters>16281</Characters>
  <Application>Microsoft Office Word</Application>
  <DocSecurity>0</DocSecurity>
  <Lines>542</Lines>
  <Paragraphs>313</Paragraphs>
  <ScaleCrop>false</ScaleCrop>
  <Company>FinProject</Company>
  <LinksUpToDate>false</LinksUpToDate>
  <CharactersWithSpaces>18523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Enrico Anghileri</cp:lastModifiedBy>
  <cp:revision>46</cp:revision>
  <dcterms:created xsi:type="dcterms:W3CDTF">2026-05-18T10:06:00Z</dcterms:created>
  <dcterms:modified xsi:type="dcterms:W3CDTF">2026-05-28T12:23:00Z</dcterms:modified>
</cp:coreProperties>
</file>